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10330</w:t>
        <w:br/>
      </w:r>
      <w:r>
        <w:rPr>
          <w:rtl w:val="1"/>
        </w:rPr>
        <w:t xml:space="preserve"> أخبرنا عبد الرحمن بن محمد بن سلام، حدثنا زيد بن الحباب، أخبرني عثمان بن موهب الهاشمي، سمعت أنس بن مالك،</w:t>
        <w:br/>
      </w:r>
      <w:r>
        <w:rPr>
          <w:color w:val="000000"/>
          <w:rtl w:val="1"/>
        </w:rPr>
        <w:t xml:space="preserve">يقول: قال النبي ﷺ لفاطمة: «ما ‌يَمنُعكِ ‌أن ‌تَسمعِي ما أُوصِيكِ به، أَن تَقُولِي إذا أَصبحتِ وإذا أَمسَيتِ:  </w:t>
      </w:r>
      <w:r>
        <w:rPr>
          <w:color w:val="FF0000"/>
          <w:rtl w:val="1"/>
        </w:rPr>
        <w:t xml:space="preserve">يا حَيّ يا قَيوم برَحمَتِكَ أَستَغيث، أَصلِح لي شَأنِي كُلَّه، ولا تِكِلنِي إلى نَفِسي طَرفَة عين».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