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7383</w:t>
        <w:br/>
      </w:r>
      <w:r>
        <w:rPr>
          <w:rtl w:val="1"/>
        </w:rPr>
        <w:t xml:space="preserve"> أخبرنا أبو يعلى قال: حدثنا مسلم بن أبي مسلم الجرمي قال: حدثنا مخلد بن الحسين عن هشام عن الحسن عن أبي بكرة</w:t>
        <w:br/>
      </w:r>
      <w:r>
        <w:rPr>
          <w:color w:val="000000"/>
          <w:rtl w:val="1"/>
        </w:rPr>
        <w:t xml:space="preserve">قال: قال رسول الله ﷺ:  </w:t>
      </w:r>
      <w:r>
        <w:rPr>
          <w:color w:val="FF0000"/>
          <w:rtl w:val="1"/>
        </w:rPr>
        <w:t xml:space="preserve">«مَن ‌قَتَلَ ‌مُعاهِدًا فِي عَهدِه لَم يَرَح رائِحَةَ الجَنَّة وإنَّ رِيحَهَا لَيُوجَد مِن مَسِيرَةِ خَمس مئةِ عام».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