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4674</w:t>
        <w:br/>
      </w:r>
      <w:r>
        <w:rPr>
          <w:rtl w:val="1"/>
        </w:rPr>
        <w:t xml:space="preserve"> أخبرنا ابن قتيبة، حدثنا حرملة، حدثنا ابن وهب، حدثني معاوية بن صالح، عن نعيم بن زياد أنه سمع أبا ‌كبشة صاحب النبي ﷺ</w:t>
        <w:br/>
      </w:r>
      <w:r>
        <w:rPr>
          <w:color w:val="000000"/>
          <w:rtl w:val="1"/>
        </w:rPr>
        <w:t xml:space="preserve">يقول عن النبي ﷺ قال:  </w:t>
      </w:r>
      <w:r>
        <w:rPr>
          <w:color w:val="FF0000"/>
          <w:rtl w:val="1"/>
        </w:rPr>
        <w:t xml:space="preserve">«الخَيلُ مَعقُودٌ في نَوَاصِيها ‌الخَير، وأَهلُها مُعانُون عليها، والمُنفِقُ عليها كالباسِطِ يَدَه بالصَّدَقة».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