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2452</w:t>
        <w:br/>
      </w:r>
      <w:r>
        <w:rPr>
          <w:rtl w:val="1"/>
        </w:rPr>
        <w:t xml:space="preserve"> حدثنا أبو بكر أحمد بن سَلْمان بن الحَسَن الفقيه إملاءً، حدثنا هِلال بن العلاء الرَّقِّي، حدثنا عبد الله بن جعفر الرَّقِّي، حدثنا عُبيد الله بن عَمرو الرَّقِّي، عن زيد بن أبي أُنيسة، عن جَبَلة بن سُحَيم، حدثنا أبو المثنَّى العَبْدي، قال: سمعت ابن الخَصَاصِيَةِ</w:t>
        <w:br/>
      </w:r>
      <w:r>
        <w:rPr>
          <w:color w:val="000000"/>
          <w:rtl w:val="1"/>
        </w:rPr>
        <w:t xml:space="preserve"> </w:t>
      </w:r>
      <w:r>
        <w:rPr>
          <w:color w:val="FF0000"/>
          <w:rtl w:val="1"/>
        </w:rPr>
        <w:t xml:space="preserve">يقول: أتيتُ رسولَ الله ﷺ لأُبايِعَه على الإسلام، فاشْتَرط عليَّ: «تشهدُ أن لا إلهَ إِلَّا اللهُ، وأنَّ محمدًا عبدُه ورسُولُه، وتُصلي الخَمْسَ، وتصومُ رمضانَ، وتُؤدِّي الزكاةَ، وتحُجَّ البيتَ، وتجاهِدُ في سبيل الله»،  </w:t>
      </w:r>
      <w:r>
        <w:rPr>
          <w:color w:val="000000"/>
          <w:rtl w:val="1"/>
        </w:rPr>
        <w:t xml:space="preserve">قال: قلتُ: يا رسول الله، أمَّا اثنتان فلا أُطِيقُهما، أما الزكاةُ فما لي إلّا عَشرُ ذَوْدٍ، هُنَّ رَسَلُ أهلي وحَمُولَتُهم،  </w:t>
      </w:r>
      <w:r>
        <w:rPr>
          <w:color w:val="000000"/>
          <w:rtl w:val="1"/>
        </w:rPr>
        <w:t xml:space="preserve">وأما الجهادُ فيزعُمُون أنه مَن وَلَّى فقد باءَ بغضَبٍ من الله، فأخافُ إِذا حَضَرني قتالٌ كرهتُ الموتَ وجَشِعَتْ نَفْسي،  </w:t>
      </w:r>
      <w:r>
        <w:rPr>
          <w:color w:val="FF0000"/>
          <w:rtl w:val="1"/>
        </w:rPr>
        <w:t xml:space="preserve">قال: فَقَبَضَ رسولُ الله ﷺ يدَه، ثم حَرَّكها، ثم قال: «لا صَدقةَ ولا جهادَ! فبِمَ تَدخُلُ الجنةَ؟»  </w:t>
      </w:r>
      <w:r>
        <w:rPr>
          <w:color w:val="FF0000"/>
          <w:rtl w:val="1"/>
        </w:rPr>
        <w:t xml:space="preserve">قال: ثم قلتُ: يا رسولَ الله، أُبايِعُك؛ فبايَعَني عليهنَّ كُلِّهنّ. </w:t>
      </w:r>
      <w:r>
        <w:rPr>
          <w:color w:val="000000"/>
          <w:rtl w:val="1"/>
        </w:rPr>
        <w:t xml:space="preserve">هذا حديث صحيح الإسناد، ولم يُخرجاه، وبَشِير بن الخَصَاصِيَة من المذكورين في الصحابة من الأنصار. </w:t>
      </w:r>
    </w:p>
    <w:p>
      <w:pPr>
        <w:bidi w:val="1"/>
        <w:jc w:val="start"/>
      </w:pPr>
      <w:r>
        <w:rPr>
          <w:rtl w:val="1"/>
        </w:rPr>
        <w:t>درجة الحديث: حسن</w:t>
      </w:r>
    </w:p>
    <w:p>
      <w:pPr>
        <w:bidi w:val="1"/>
        <w:jc w:val="start"/>
      </w:pPr>
      <w:r>
        <w:rPr>
          <w:rtl w:val="1"/>
        </w:rPr>
        <w:t>الشرح: الدلالة: حكم الجهاد ومراحل تشريعه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