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</w:t>
        <w:br/>
      </w:r>
      <w:r>
        <w:rPr>
          <w:rtl w:val="1"/>
        </w:rPr>
        <w:t xml:space="preserve"> حَدَّثَنَا مُوسَى قَالَ: نا مُحَمَّدٌ قَالَ: نا سُوَيْدٌ، عَنْ يَاسِينَ، عَنِ الزُّهْرِيِّ، عَنْ سَالِمٍ، عَنْ أَبِيهِ،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عَنِ النَّبِيِّ ﷺ قَالَ: «مَن أَدرَكَ مالَه في الفَيءِ قَبلَ أَن يُقسم فهو أَحَقُّ بِهِ، وإِن أَدْرَكَه بَعدَ أَن يقسمَ فلَيسَ له شَيءٌ». </w:t>
      </w:r>
      <w:r>
        <w:rPr>
          <w:color w:val="000000"/>
          <w:rtl w:val="1"/>
        </w:rPr>
        <w:t xml:space="preserve"> لَم يَروِ هٰذا الحديث عن الزهري إلّا ياسين، تفرّد به سُويد بنُ عَبد العزيز.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المسلم يجد ماله عند العدو فيعاد 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