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عبد الرزاق — رقم الحديث: 7191 — ج: 4 — ص: 120</w:t>
        <w:br/>
      </w:r>
      <w:r>
        <w:rPr>
          <w:rtl w:val="1"/>
        </w:rPr>
        <w:t xml:space="preserve"> عن معمر، عن الزهري، عن سالم،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أَخذَ عُمر بنُ الخطّاب مِن القِطْنيَّةِ الزَّكاةَ.  </w:t>
      </w:r>
      <w:r>
        <w:rPr>
          <w:color w:val="FF0000"/>
          <w:rtl w:val="1"/>
        </w:rPr>
        <w:t xml:space="preserve">والقِطْنيّةُ: العَدَس، ‌والحِمَّص، وأَشباهُ ذلك. </w:t>
      </w:r>
    </w:p>
    <w:p>
      <w:pPr>
        <w:bidi w:val="1"/>
        <w:jc w:val="start"/>
      </w:pPr>
      <w:r>
        <w:rPr>
          <w:rtl w:val="1"/>
        </w:rPr>
        <w:t>الشرح: الدلالة: العدس والحمص - الحبوب والبذور والبقوليات ومنتجاتها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