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معجم الصحابة لابن قانع — ج: 3 — ص: 99</w:t>
        <w:br/>
      </w:r>
      <w:r>
        <w:rPr>
          <w:rtl w:val="1"/>
        </w:rPr>
        <w:t xml:space="preserve"> حدثنا عبد الله بن الحسين التمار، حدثنا محمد بن حميد، حدثنا سلمة، عن محمد بن إسحاق، عن الحسن بن زيد، عن عبد الرحمن الأعرج، عن معمر بن عبد الله بن نضلة</w:t>
        <w:br/>
      </w:r>
      <w:r>
        <w:rPr>
          <w:color w:val="000000"/>
          <w:rtl w:val="1"/>
        </w:rPr>
        <w:t xml:space="preserve">أنَّ النبيَّ ﷺ مَرَّ به وهو كاشفٌ عن فَخذِه  </w:t>
      </w:r>
      <w:r>
        <w:rPr>
          <w:color w:val="FF0000"/>
          <w:rtl w:val="1"/>
        </w:rPr>
        <w:t xml:space="preserve">فقال: «غَطِّ فَخذَك، فإنَّ الفَخِذَ عَورةٌ». </w:t>
      </w:r>
    </w:p>
    <w:p>
      <w:pPr>
        <w:bidi w:val="1"/>
        <w:jc w:val="start"/>
      </w:pPr>
      <w:r>
        <w:rPr>
          <w:rtl w:val="1"/>
        </w:rPr>
        <w:t>درجة الحديث: حسن لغيره</w:t>
      </w:r>
    </w:p>
    <w:p>
      <w:pPr>
        <w:bidi w:val="1"/>
        <w:jc w:val="start"/>
      </w:pPr>
      <w:r>
        <w:rPr>
          <w:rtl w:val="1"/>
        </w:rPr>
        <w:t>الشرح: الدلالة: ما جاء أن الفخذ عورة - حد عورة الرجل والاختلاف فيه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