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513 — ج: 1 — ص: 164</w:t>
        <w:br/>
      </w:r>
      <w:r>
        <w:rPr>
          <w:rtl w:val="1"/>
        </w:rPr>
        <w:t xml:space="preserve"> حدثنا أحمد بن القاسم، قال: حدثنا عيسى بن المساور، قال: حدثنا سويد بن عبد العزيز، عن محمد بن زيد، عن عمرو بن دينار، عن ابن عمر، قال: سمعتُ رسول الله ﷺ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«إنَّ المَرأةَ إذا خَرَجَت مِن بَيتِها، وزَوجُها كارِه لذلك، لَعَنَها كلُّ مَلَك في السماء، وكلُّ شَيءٍ تَمُرُّ عليه، غَير الجنّ والإنس، حتّى تَرجع».  </w:t>
      </w:r>
      <w:r>
        <w:rPr>
          <w:color w:val="000000"/>
          <w:rtl w:val="1"/>
        </w:rPr>
        <w:t xml:space="preserve">لم يَروِ هذا الحديثَ عن عَمرو بنِ دينار إلّا محمَّد بنُ زَيد، تفرَّد به سُوَيد بنُ عبد العزيز.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