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4163 — ج: 9 — ص: 471</w:t>
        <w:br/>
      </w:r>
      <w:r>
        <w:rPr>
          <w:rtl w:val="1"/>
        </w:rPr>
        <w:t xml:space="preserve"> أخبرنا عبد الله بن أحمد بن موسى الجواليقي بعسكر مكرم، قال: حدثنا داهر بن نوح الأهوازي، قال: حدثنا أبو همام محمد بن الزبرقان، قال: حدثنا هدبة بن المنهال، عن عبد الملك بن عمير، عن أبي سلمة، عن أبي هريرة، قال: قال رسول الله ﷺ:</w:t>
        <w:br/>
      </w:r>
      <w:r>
        <w:rPr>
          <w:color w:val="000000"/>
          <w:rtl w:val="1"/>
        </w:rPr>
        <w:t xml:space="preserve">«إذا صَلَّت المرأةُ خَمسها،  </w:t>
      </w:r>
      <w:r>
        <w:rPr>
          <w:color w:val="000000"/>
          <w:rtl w:val="1"/>
        </w:rPr>
        <w:t xml:space="preserve">وصامَت شَهرَها،  </w:t>
      </w:r>
      <w:r>
        <w:rPr>
          <w:color w:val="000000"/>
          <w:rtl w:val="1"/>
        </w:rPr>
        <w:t xml:space="preserve">وحَصَّنَت فرجَهَا،  </w:t>
      </w:r>
      <w:r>
        <w:rPr>
          <w:color w:val="FF0000"/>
          <w:rtl w:val="1"/>
        </w:rPr>
        <w:t xml:space="preserve">وأَطاعَت بعلَها،  </w:t>
      </w:r>
      <w:r>
        <w:rPr>
          <w:color w:val="000000"/>
          <w:rtl w:val="1"/>
        </w:rPr>
        <w:t xml:space="preserve">دَخَلَت مِن أَيِّ أَبواب الجَنَّةِ شاءَت». </w:t>
      </w:r>
      <w:r>
        <w:rPr>
          <w:color w:val="000000"/>
          <w:rtl w:val="1"/>
        </w:rPr>
        <w:t xml:space="preserve">قال أبو حاتم رصي الله عنه: تفرَّد بهذا الحديثِ عبدُ الملك بنُ عُمَير من حديث أَبي سَلَمة، وما رواه عن عبدِ المَلك إلّا هُدْبةُ بن المِنهال، وهو شيخٌ أَهوازيّ.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