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5084 — ج: 5 — ص: 200</w:t>
        <w:br/>
      </w:r>
      <w:r>
        <w:rPr>
          <w:rtl w:val="1"/>
        </w:rPr>
        <w:t xml:space="preserve"> حدثنا محمد بن عبد الله الحضرمي، حدثنا أبو بكر بن أبي شيبة، حدثنا شبابة، حدثنا المغيرة بن مسلم، عن عمرو بن دينار، عن زيد بن أرقم، قال: قال رسول الله ﷺ:</w:t>
        <w:br/>
      </w:r>
      <w:r>
        <w:rPr>
          <w:color w:val="FF0000"/>
          <w:rtl w:val="1"/>
        </w:rPr>
        <w:t xml:space="preserve">«المرأةُ لا تُؤدِّي حقَّ الله عليها حتى تُؤدِّيَ حقَّ زَوجِها،  </w:t>
      </w:r>
      <w:r>
        <w:rPr>
          <w:color w:val="FF0000"/>
          <w:rtl w:val="1"/>
        </w:rPr>
        <w:t xml:space="preserve">حتى لو سألَها وهي على ظَهرِ قَتَبٍ لم تَمنَعْه نفْسَها».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