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للبيهقي — ج: 2 — ص: 369</w:t>
        <w:br/>
      </w:r>
      <w:r>
        <w:rPr>
          <w:rtl w:val="1"/>
        </w:rPr>
        <w:t xml:space="preserve"> أخبرنا أبو عبد الله الحافظ، حدثنا أبو إسحاق : إبراهيم بن محمد بن يحيى المزكي، أخبرنا أبو عبد الله : أحمد بن على الجوزجاني، حدثنا أبو عبيدة بن أبى السفر، ح  وأخبرنا أبو عمرو الأديب، أخبرنا أبو بكر الإسماعيلي، أخبرني عبد الله بن زيدان ومحمد بن إبراهيم بن محمد بن خالد أبو جعفر القماط الكوفيان، قالا: حدثنا أبو عبيدة بن أبى السفر، قال سمعت إبراهيم بن يوسف بن أبي إسحاق، عن أبيه، عن أبي إسحاق، عن البراء</w:t>
        <w:br/>
      </w:r>
      <w:r>
        <w:rPr>
          <w:color w:val="000000"/>
          <w:rtl w:val="1"/>
        </w:rPr>
        <w:t xml:space="preserve">قال:  </w:t>
      </w:r>
      <w:r>
        <w:rPr>
          <w:color w:val="FF0000"/>
          <w:rtl w:val="1"/>
        </w:rPr>
        <w:t xml:space="preserve">بَعَثَ النبيُّ ﷺ خالدَ بنَ الوليدِ إلى أهلِ اليَمَنِ يَدعوهُم إلى الإِسلام، فلَم يُجيبوه،  </w:t>
      </w:r>
      <w:r>
        <w:rPr>
          <w:color w:val="FF0000"/>
          <w:rtl w:val="1"/>
        </w:rPr>
        <w:t xml:space="preserve">ثم إنَّ النبيَّ ﷺ بَعَثَ عليَّ بنَ أَبى طالبٍ، وأَمَرَه أن يُقفِلَ خالدًا ومَن كان معه، إلّا رجلٌ ممَّن كان مَعَ خالدٍ أحَبَّ أن يُعَقِّب معَ عليٍّ، رضي الله عنه، فليُعَقِّبْ معَه.  </w:t>
      </w:r>
      <w:r>
        <w:rPr>
          <w:color w:val="FF0000"/>
          <w:rtl w:val="1"/>
        </w:rPr>
        <w:t xml:space="preserve">قال البَراءُ: فكُنتُ مِمن عَقَّبَ معه، فلمّا دَنَونا منَ القومِ خَرَجوا إلَينا، فصَلَّى بنا عليٌّ، رضي اللَّه عنه، وصَفَّنا صَفًّا واحدًا، ثم تَقدَّمَ بينَ أَيدِينا، فقَرأَ عليهِم كِتابَ رسولِ اللَّهِ ﷺ، فأَسلَمَت هَمْدانُ جَميعًا،  </w:t>
      </w:r>
      <w:r>
        <w:rPr>
          <w:color w:val="FF0000"/>
          <w:rtl w:val="1"/>
        </w:rPr>
        <w:t xml:space="preserve">فكَتَبَ عليُّ، رضي اللَّه عنه، إلى رسولِ اللَّهِ ﷺ بإِسلامِهِم،  </w:t>
      </w:r>
      <w:r>
        <w:rPr>
          <w:color w:val="FF0000"/>
          <w:rtl w:val="1"/>
        </w:rPr>
        <w:t xml:space="preserve">فلمَّا قرأَ رسولُ اللَّهِ ﷺ الكِتابَ خَرَّ ساجِدًا، ثم رَفَعَ رأسَه فقال: «السَّلامُ على هَمْدانَ، السَّلامُ على هَمْدانَ».  </w:t>
      </w:r>
      <w:r>
        <w:rPr>
          <w:color w:val="000000"/>
          <w:rtl w:val="1"/>
        </w:rPr>
        <w:t xml:space="preserve">أخرَجَ البخاريُّ صدرَ هذا الحديثِ، عن أحمدَ بنِ عثمانَ، عن شُرَيحِ بنِ مَسلَمَةَ، عن إبراهيمَ بنِ يوسُفَ، فلَم يَسُقْه بتَمامِه. وسُجودُ الشُّكرِ في تَمامِ الحديثِ صَحيحٌ على شَرطِه. </w:t>
      </w:r>
    </w:p>
    <w:p>
      <w:pPr>
        <w:bidi w:val="1"/>
        <w:jc w:val="start"/>
      </w:pPr>
      <w:r>
        <w:rPr>
          <w:rtl w:val="1"/>
        </w:rPr>
        <w:t>الشرح: الدلالة: سريتا خالد بن الوليد وعلي بن أبي طالب إلى نجران - أحداث السنة العاشرة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