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4 — ص: 259</w:t>
        <w:br/>
      </w:r>
      <w:r>
        <w:rPr>
          <w:rtl w:val="1"/>
        </w:rPr>
        <w:t xml:space="preserve"> قال ابن إسحاق: فحدّثني عاصمُ بن عمر بن قَتَادة، عن محمود بن لَبِيدٍ، عن رجالٍ من بني عبد الأشهَل</w:t>
        <w:br/>
      </w:r>
      <w:r>
        <w:rPr>
          <w:color w:val="000000"/>
          <w:rtl w:val="1"/>
        </w:rPr>
        <w:t xml:space="preserve">قال: قلت لمحمودٍ: هل كان الناسُ يَعرِفون النِّفاقَ فيهم؟ قال: نعم والله، إن كان الرّجلُ ليَعرِفُه من أخيه ومن أبيه ومن عمِّه، وفي عَشِيرتِه، ثمّ يَلبَسُ بعضُهم بعضًا على ذلك. </w:t>
      </w:r>
      <w:r>
        <w:rPr>
          <w:color w:val="FF0000"/>
          <w:rtl w:val="1"/>
        </w:rPr>
        <w:t xml:space="preserve">ثمّ قال محمودٌ: لقد أخبرني رجالٌ من قومي، عن رجلٍ من المنافقين معروفٌ نِفاقُه، كان يَسِيرُ مع رسول الله ﷺ حيثُ سارَ،  </w:t>
      </w:r>
      <w:r>
        <w:rPr>
          <w:color w:val="FF0000"/>
          <w:rtl w:val="1"/>
        </w:rPr>
        <w:t xml:space="preserve">فلمّا كان من أمر الماءِ بالحِجْرِ ما كان، ودعا رسولُ الله ﷺ حين دعا، فأرسَلَ اللهُ السّحابةَ فأمطَرَت حتّى ارتَوَى الناسُ،  </w:t>
      </w:r>
      <w:r>
        <w:rPr>
          <w:color w:val="FF0000"/>
          <w:rtl w:val="1"/>
        </w:rPr>
        <w:t xml:space="preserve">قالوا: أقبَلْنا عليه نقولُ: وَيحَك، هل بعدَ هذا شيءٌ؟! قال: سحابةٌ مارّةٌ.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في الطريق إلى تبوك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