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12152 — ج: 11 — ص: 406</w:t>
        <w:br/>
      </w:r>
      <w:r>
        <w:rPr>
          <w:rtl w:val="1"/>
        </w:rPr>
        <w:t xml:space="preserve"> وبه مثله سواء</w:t>
        <w:br/>
      </w:r>
      <w:r>
        <w:rPr>
          <w:color w:val="000000"/>
          <w:rtl w:val="1"/>
        </w:rPr>
        <w:t xml:space="preserve">قُتِلَ حمزةُ يومَ أُحد، وقُتِلَ معَه رجلٌ من الأَنصار،  </w:t>
      </w:r>
      <w:r>
        <w:rPr>
          <w:color w:val="000000"/>
          <w:rtl w:val="1"/>
        </w:rPr>
        <w:t xml:space="preserve">فجاءَتْه صَفيَّةُ بنتُ عبدِ المُطَّلب ‌بثَوبَين ‌ليُكفِّنَ ‌فيهما حمزةَ، فلم يكن للأَنصاريِّ كفَن، فأَسهَمَ النّبيُّ ﷺ بينَ الثَّوبين، ثم كفَّنَ كلَّ واحدٍ منهُما في ثوب.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