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245 — ج: 13 — ص: 102</w:t>
        <w:br/>
      </w:r>
      <w:r>
        <w:rPr>
          <w:rtl w:val="1"/>
        </w:rPr>
        <w:t xml:space="preserve"> حدثنا محمد بن علي بن الأحمر الناقد البصري، قال: حدثنا محمد بن يحيى القطعي، قال: حدثنا وهب بن جرير، قال: حدثنا أبي، (ح)  وحدثنا محمد بن زهير أبو يعلى الأبلي، قال: حدثنا عبدة بن عبد الله الصفار، قال: حدثنا عبيد بن عقيل، قال: حدثنا جرير بن حازم، قال: حدثنا ابن إسحاق، قال: حدثني يحيى بن عباد، عن أبيه، عن عبد الله بن الزبير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كانت قريشٌ ناحَتْ قتلاها، ثم نَدِمَتْ، وقالوا: لا تَنُوحوا عليهم فيَبلغُ ذلك محمّدًا وأَصحابَه فيَشمَتُوا بكُم،  </w:t>
      </w:r>
      <w:r>
        <w:rPr>
          <w:color w:val="FF0000"/>
          <w:rtl w:val="1"/>
        </w:rPr>
        <w:t xml:space="preserve">وكان في الأَسرى أَبو وَدَاعةَ بنُ صَبْرةَ السَّهْمي، فقال رسولُ الله ﷺ: «إنَّ له بمَكّةَ ابنًا تاجرًا كيِّسًا ذا مال، كأنّكُم به قد جاءَكُم في فداءِ أَبيه»،  </w:t>
      </w:r>
      <w:r>
        <w:rPr>
          <w:color w:val="000000"/>
          <w:rtl w:val="1"/>
        </w:rPr>
        <w:t xml:space="preserve">فلمّا قالت قريشٌ في الفِداءِ ما قالت، قال المُطَّلب: صدَقتُم، واللهِ لَئِن فعَلتُم لَيَثأَرنَّ عليكم،  </w:t>
      </w:r>
      <w:r>
        <w:rPr>
          <w:color w:val="FF0000"/>
          <w:rtl w:val="1"/>
        </w:rPr>
        <w:t xml:space="preserve">ثم انسَلَّ مِن اللَّيل، فقَدِمَ المدينةَ ففَدَى أَباهُ بأَربعةِ آلافِ دِرهم. 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