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3309 — ج: 4 — ص: 247</w:t>
        <w:br/>
      </w:r>
      <w:r>
        <w:rPr>
          <w:rtl w:val="1"/>
        </w:rPr>
        <w:t xml:space="preserve"> أخبرنا أبو العبَّاس محمد بن أحمد المحبوبي، حدثنا سعيد بن مسعود، حدثنا عبيد الله بن موسى، حدثنا إسرائيل، عن إبراهيم بن مهاجِر، عن مجاهد،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استشارَ رسولُ الله ﷺ في الأُسارَى أبا بكر، فقال: قومُك وعشيرتُك، فخلِّ سبيلَهم،  </w:t>
      </w:r>
      <w:r>
        <w:rPr>
          <w:color w:val="FF0000"/>
          <w:rtl w:val="1"/>
        </w:rPr>
        <w:t xml:space="preserve">فاستشار عمرَ فقال: اقتُلهم،  </w:t>
      </w:r>
      <w:r>
        <w:rPr>
          <w:color w:val="FF0000"/>
          <w:rtl w:val="1"/>
        </w:rPr>
        <w:t xml:space="preserve">قال: ففاداهم رسولُ الله ﷺ،  </w:t>
      </w:r>
      <w:r>
        <w:rPr>
          <w:color w:val="000000"/>
          <w:rtl w:val="1"/>
        </w:rPr>
        <w:t xml:space="preserve">فأنزل الله عزَّ وجلَّ: ﴿مَا كَانَ لِنَبِيٍّ أَنْ يَكُونَ لَهُ أَسْرَى حَتَّى يُثْخِنَ فِي الْأَرْضِ﴾ إلى قوله: ﴿فَكُلُوا مِمَّا غَنِمْتُمْ حَلَالًا طَيِّبًا﴾ [الأنفال:67 - 69]،  </w:t>
      </w:r>
      <w:r>
        <w:rPr>
          <w:color w:val="000000"/>
          <w:rtl w:val="1"/>
        </w:rPr>
        <w:t xml:space="preserve">قال: فلَقيَ النبيُّ ﷺ عمرَ فقال: «كادَ أن يُصيبَنا في خِلافِك بَلاء». </w:t>
      </w:r>
      <w:r>
        <w:rPr>
          <w:color w:val="000000"/>
          <w:rtl w:val="1"/>
        </w:rPr>
        <w:t xml:space="preserve">هذا حديثٌ صحيحُ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