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2 — ص: 376</w:t>
        <w:br/>
      </w:r>
      <w:r>
        <w:rPr>
          <w:rtl w:val="1"/>
        </w:rPr>
        <w:t xml:space="preserve"> قال ابن إسحاق: حدّثني يحيى بن عَبّاد بن عبد الله بن الزُّبير، عن أبيه. قال: وحدَّثَنيهِ أيضًا عبدُ الله بن أبي بكرٍ وغيرُهما، عن عبد الرَّحمن بن عوفٍ</w:t>
        <w:br/>
      </w:r>
      <w:r>
        <w:rPr>
          <w:color w:val="000000"/>
          <w:rtl w:val="1"/>
        </w:rPr>
        <w:t xml:space="preserve">قال: كان أُميّةُ بن خَلَفٍ لي صديقًا بمكّة، وكان اسمي عبدَ عمرٍو، فتسمَّيتُ حين أسلمتُ عبدَ الرَّحمن ونحن بمكّة، فكان يلقاني إذ نحن بمكّة فيقول: يا عبدَ عمرو، أرَغِبتَ عن اسمٍ سمَّاكَه أبواك؟ قال: فأقول: نعم، فيقول: فإنّي لا أعرفُ الرَّحمنَ، فاجعَلْ بيني وبينَك شيئًا أَدعُوك به، أمّا أنت فلا تجيبُني باسمِك الأوّل، وأمّا أنا فلا أَدعُوك بما لا أعرف، قال: فكان إذا دعاني: يا عبدَ عمرو، لم أُجِبْه، قال: فقلتُ له: يا أبا عليّ، اجعَلْ ما شئتَ، قال: فأنت عبدُ الإله، قال: قلت: نعم، قال: فكنتُ إذا مَرَرتُ به قال: يا عبدَ الإله، فأُجِيبُه فأتحدَّثُ معه. </w:t>
      </w:r>
      <w:r>
        <w:rPr>
          <w:color w:val="FF0000"/>
          <w:rtl w:val="1"/>
        </w:rPr>
        <w:t xml:space="preserve">حتّى إذا كان يومُ بدرٍ مَرَرتُ به وهو واقفٌ مع ابنه عليِّ بن أُميّة آخذٌ بيدِه، قال: ومعي أدراعٌ قد استَلَبتُها، فأنا أحمِلُها، فلمّا رآني قال: يا عبدَ عمرو، فلم أُجِبْه، فقال: يا عبدَ الإله، قال: فقلت: نعم، قال: هل لك فِيَّ، فأنا خيرٌ لك من هذه الأدراعِ التي معك، قال: قلت: نعم، ها اللهِ ذا، قال: فطَرَحتُ الأدراعَ من يدي وأخذتُ بيدِه ويدِ ابنه، وهو يقول: ما رأيتُ كاليوم قطُّ، أمَا لكم حاجةٌ في اللَّبَن؟ ثمّ خرجتُ أَمشي بهما. </w:t>
      </w:r>
      <w:r>
        <w:rPr>
          <w:color w:val="000000"/>
          <w:rtl w:val="1"/>
        </w:rPr>
        <w:t xml:space="preserve">قال ابن هشام: أراد باللَّبَن: أنَّ مَن أسَرَني افتَدَيتُ منه بإبلٍ كثيرةِ اللَّبن.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