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4374 — ج: 10 — ص: 216</w:t>
        <w:br/>
      </w:r>
      <w:r>
        <w:rPr>
          <w:rtl w:val="1"/>
        </w:rPr>
        <w:t xml:space="preserve"> أخبرنا الحسن بن سفيان، حدثنا معلى بن مهدي، حدثنا أبو عوانة، عن عمر بن أبي سلمة، عن أبيه، عن أبي هريرة، قال: قالَ رسولُ الله ﷺ:</w:t>
        <w:br/>
      </w:r>
      <w:r>
        <w:rPr>
          <w:color w:val="FF0000"/>
          <w:rtl w:val="1"/>
        </w:rPr>
        <w:t xml:space="preserve">«ما شَهدتُ مِن حِلفِ قُريشٍ إلّا حِلفَ المُطيَّبين، وما أُحِبُّ أنَّ لي حُمْرَ النَّعم».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شهوده لحلف الفضول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