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شرح مشكل الآثار  — رقم الحديث: 5967 — ج: 15 — ص: 216</w:t>
        <w:br/>
      </w:r>
      <w:r>
        <w:rPr>
          <w:rtl w:val="1"/>
        </w:rPr>
        <w:t xml:space="preserve"> كما حدثنا علي بن عبد الرحمن، حدثنا يحيى بن معين، حدثنا حجاج بن محمد، عن يونس بن أبي إسحاق، عن أبي إسحاق، عن سعيد بن جبير،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وُلِدَ النّبيُّ ﷺ عامَ الفِيل.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