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20818 — ج: 11 — ص: 389</w:t>
        <w:br/>
      </w:r>
      <w:r>
        <w:rPr>
          <w:rtl w:val="1"/>
        </w:rPr>
        <w:t xml:space="preserve"> أخبرنا عبد الرزاق، عن معمر، عن الزهري، عن سنان بن أبي سنان، أنه سمع حسين بن علي</w:t>
        <w:br/>
      </w:r>
      <w:r>
        <w:rPr>
          <w:color w:val="000000"/>
          <w:rtl w:val="1"/>
        </w:rPr>
        <w:t xml:space="preserve">يحدِّثُ؛  </w:t>
      </w:r>
      <w:r>
        <w:rPr>
          <w:color w:val="000000"/>
          <w:rtl w:val="1"/>
        </w:rPr>
        <w:t xml:space="preserve">أنَّ النّبيَّ ﷺ خبّأَ لابنِ صيّادٍ دُخانًا، فسألَه عمّا خبّأَ له، فقال: دُخْ، فقال: «اخسَأْ، فلَن تَعدُو قدْرَك» - أَجلَك -،  </w:t>
      </w:r>
      <w:r>
        <w:rPr>
          <w:color w:val="000000"/>
          <w:rtl w:val="1"/>
        </w:rPr>
        <w:t xml:space="preserve">فلمَّا ولَّى، قال النّبيُّ ﷺ: «ما قال؟» فقال بعضُهم: دُخْ، وقال بعضًهم: بل قال: رِيح،  </w:t>
      </w:r>
      <w:r>
        <w:rPr>
          <w:color w:val="FF0000"/>
          <w:rtl w:val="1"/>
        </w:rPr>
        <w:t xml:space="preserve">فقال النّبيُّ ﷺ: «قد اختَلفتُم وأَنا بينَ أَظهُرِكم، وأَنتُم بعدِي أَشدُّ اختِلافًا». 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