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أبي يعلى — رقم الحديث: 2770 — ج: 5 — ص: 157</w:t>
        <w:br/>
      </w:r>
      <w:r>
        <w:rPr>
          <w:rtl w:val="1"/>
        </w:rPr>
        <w:t xml:space="preserve"> حدثنا أبو كريب، حدثنا المحاربي، عن عمر بن مساور العجلي، عن الحسن، عن أنس</w:t>
        <w:br/>
      </w:r>
      <w:r>
        <w:rPr>
          <w:color w:val="000000"/>
          <w:rtl w:val="1"/>
        </w:rPr>
        <w:t xml:space="preserve">قال:  </w:t>
      </w:r>
      <w:r>
        <w:rPr>
          <w:color w:val="FF0000"/>
          <w:rtl w:val="1"/>
        </w:rPr>
        <w:t xml:space="preserve">لم يُرد رسولُ الله ﷺ سفرًا قطُّ إلا قال حين يَنهض من جُلوسِه:  </w:t>
      </w:r>
      <w:r>
        <w:rPr>
          <w:color w:val="FF0000"/>
          <w:rtl w:val="1"/>
        </w:rPr>
        <w:t xml:space="preserve">«اللهمَّ بك انتشرتُ، وإليكَ توجَّهت، وبك اعتصمتُ، اللهمَّ أَنت ثِقَتِي وأنتَ رجائِي، اللهمَّ اكفِنِي ما أَهَمَّني وما لا أَهتَمُّ به، وما أَنتَ أَعلمُ به مِنِّي، وزَوِّدني التَّقوى، واغفِر لي ذَنبِي، ووجِّهْنِي للخيرِ حيثُ ما توجَّهتُ».  </w:t>
      </w:r>
      <w:r>
        <w:rPr>
          <w:color w:val="FF0000"/>
          <w:rtl w:val="1"/>
        </w:rPr>
        <w:t xml:space="preserve">قال: ثم يخرج. </w:t>
      </w:r>
    </w:p>
    <w:p>
      <w:pPr>
        <w:bidi w:val="1"/>
        <w:jc w:val="start"/>
      </w:pPr>
      <w:r>
        <w:rPr>
          <w:rtl w:val="1"/>
        </w:rPr>
        <w:t xml:space="preserve">درجة الحديث: إسناده ضعيف </w:t>
      </w:r>
    </w:p>
    <w:p>
      <w:pPr>
        <w:bidi w:val="1"/>
        <w:jc w:val="start"/>
      </w:pPr>
      <w:r>
        <w:rPr>
          <w:rtl w:val="1"/>
        </w:rPr>
        <w:t xml:space="preserve">الشرح: الدلالة: دعاؤه ﷺ إذا أراد السفر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