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جحاء في الكفاف والصبر عليه-كتاب الزهد-سنن الترمذي — رقم الحديث: 2347 — الرقم الفرعي: 2</w:t>
        <w:br/>
      </w:r>
      <w:r>
        <w:rPr>
          <w:rtl w:val="1"/>
        </w:rPr>
        <w:t xml:space="preserve"> وبهذا الإسناد، عن النبي ﷺ،</w:t>
        <w:br/>
      </w:r>
      <w:r>
        <w:rPr>
          <w:color w:val="FF0000"/>
          <w:rtl w:val="1"/>
        </w:rPr>
        <w:t xml:space="preserve">قال: «عَرَضَ عليَّ ربِّي لِيجعَلَ لي بَطْحاءَ مكّةَ ذَهبًا،  </w:t>
      </w:r>
      <w:r>
        <w:rPr>
          <w:color w:val="FF0000"/>
          <w:rtl w:val="1"/>
        </w:rPr>
        <w:t xml:space="preserve">قلت: لا يا ربّ، ولكنْ أَشبعُ يومًا وأَجوعُ يومًا - أو قال: ثلاثًا، أو نحوَ هذا -  </w:t>
      </w:r>
      <w:r>
        <w:rPr>
          <w:color w:val="FF0000"/>
          <w:rtl w:val="1"/>
        </w:rPr>
        <w:t xml:space="preserve">فإذا جُعتُ تضرَّعتُ إليكَ وذَكَرتُكَ،  </w:t>
      </w:r>
      <w:r>
        <w:rPr>
          <w:color w:val="FF0000"/>
          <w:rtl w:val="1"/>
        </w:rPr>
        <w:t xml:space="preserve">وإذا شَبِعتُ شَكَرتُكَ وحَمِدتُك». </w:t>
      </w:r>
      <w:r>
        <w:rPr>
          <w:color w:val="000000"/>
          <w:rtl w:val="1"/>
        </w:rPr>
        <w:t xml:space="preserve">وفي الباب عن فَضَالةَ بنِ عُبيد.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والقاسم: هو ابنُ عبدِ الرَّحمن، ويُكْنَى: أبا عبدِ الرَّحمن، وهو مَولَى عبد الرَّحمن بن خالد بن يَزيدَ بنِ مُعاوية، وهو شاميٌّ ثِقة،  </w:t>
      </w:r>
      <w:r>
        <w:rPr>
          <w:color w:val="000000"/>
          <w:rtl w:val="1"/>
        </w:rPr>
        <w:t xml:space="preserve">وعليُّ بنُ يَزيد يُضعَّفُ في الحديث، ويُكْنى: أبا عبد الملك.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شكره ﷺ لله بلسانه بعد الطعام - شكر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