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95 — ج: 1 — ص: 297</w:t>
        <w:br/>
      </w:r>
      <w:r>
        <w:rPr>
          <w:rtl w:val="1"/>
        </w:rPr>
        <w:t xml:space="preserve"> أخبرنا عبد الله1بن محمد الأزدي قال حدثنا إسحاق بن إبراهيم قال أخبرنا النضر بن شميل قال حدثنا حماد بن سلمة عن علي بن الحكم البناني عن عطاء بن أبي رباح عن أبي هريرة عن النبي صلى الله عليه وسلم</w:t>
        <w:br/>
      </w:r>
      <w:r>
        <w:rPr>
          <w:color w:val="000000"/>
          <w:rtl w:val="1"/>
        </w:rPr>
        <w:t xml:space="preserve">قال:  </w:t>
      </w:r>
      <w:r>
        <w:rPr>
          <w:color w:val="FF0000"/>
          <w:rtl w:val="1"/>
        </w:rPr>
        <w:t xml:space="preserve">«مَن كَتَم عِلمًا تَلَجَّم بلِجَامٍ من نارٍ يومَ القِيامَة». </w:t>
      </w:r>
    </w:p>
    <w:p>
      <w:pPr>
        <w:bidi w:val="1"/>
        <w:jc w:val="start"/>
      </w:pPr>
      <w:r>
        <w:rPr>
          <w:rtl w:val="1"/>
        </w:rPr>
        <w:t>درجة الحديث: إسناده صحيح</w:t>
      </w:r>
    </w:p>
    <w:p>
      <w:pPr>
        <w:bidi w:val="1"/>
        <w:jc w:val="start"/>
      </w:pPr>
      <w:r>
        <w:rPr>
          <w:rtl w:val="1"/>
        </w:rPr>
        <w:t>الشرح: الدلالة: حال كاتم العلم في المحشر - حال العصاة بصفة عامة في المحشر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