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ابن حبان — رقم الحديث: 3119 — ج: 7 — ص: 388</w:t>
        <w:br/>
      </w:r>
      <w:r>
        <w:rPr>
          <w:rtl w:val="1"/>
        </w:rPr>
        <w:t xml:space="preserve"> أخبرنا أبو خليفة قال: حدثنا أبو الوليد قال: حدثنا حماد بن سلمة عن محمد بن عمرو عن أبي سلمة عن أبي هريرة </w:t>
        <w:br/>
      </w:r>
      <w:r>
        <w:rPr>
          <w:color w:val="000000"/>
          <w:rtl w:val="1"/>
        </w:rPr>
        <w:t xml:space="preserve">عن النّبيِّ ﷺ في قولِه جلَّ وعلا:  </w:t>
      </w:r>
      <w:r>
        <w:rPr>
          <w:color w:val="FF0000"/>
          <w:rtl w:val="1"/>
        </w:rPr>
        <w:t xml:space="preserve">﴿فَإِنَّ لَهُ مَعِيشَةً ضَنْكًا﴾ [طه:124]. قال: «عذابُ القَبر».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الكفر والإشراك بالله والنفاق - من أسباب عذاب القبر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