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11832</w:t>
        <w:br/>
      </w:r>
      <w:r>
        <w:rPr>
          <w:rtl w:val="1"/>
        </w:rPr>
        <w:t xml:space="preserve"> عن سويد بن نصر، عن عبد الله بن المبارك، عن جعفر بن برقان، عن زياد بن الجراح، عن عمرو بن ميمون،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رسولُ الله ﷺ لرجلٍ وهو يَعظِهُ:  </w:t>
      </w:r>
      <w:r>
        <w:rPr>
          <w:color w:val="FF0000"/>
          <w:rtl w:val="1"/>
        </w:rPr>
        <w:t xml:space="preserve">«اغتنِمْ خمسًا قبلَ خمسٍ: شبابَك قبلَ هَرَمَك، وصحَّتَك قبلَ سَقَمِك، وغِناكَ قبلَ فقرِك، وفراغَك قبلَ شُغلِك، وحياتَك قبلَ موتِك». </w:t>
      </w:r>
    </w:p>
    <w:p>
      <w:pPr>
        <w:bidi w:val="1"/>
        <w:jc w:val="start"/>
      </w:pPr>
      <w:r>
        <w:rPr>
          <w:rtl w:val="1"/>
        </w:rPr>
        <w:t>درجة الحديث: مرسل صحيح</w:t>
      </w:r>
    </w:p>
    <w:p>
      <w:pPr>
        <w:bidi w:val="1"/>
        <w:jc w:val="start"/>
      </w:pPr>
      <w:r>
        <w:rPr>
          <w:rtl w:val="1"/>
        </w:rPr>
        <w:t>الشرح: الدلالة: قيمة تقدير الوقت واغتنامه - القيم الاقتصادية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