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4386</w:t>
        <w:br/>
      </w:r>
      <w:r>
        <w:rPr>
          <w:rtl w:val="1"/>
        </w:rPr>
        <w:t xml:space="preserve"> حدثنا مصعب، حدثني بشر بن السري، عن مصعب بن ثابت، عن هشام بن عروة، عن أبيه، عن عائشة</w:t>
        <w:br/>
      </w:r>
      <w:r>
        <w:rPr>
          <w:color w:val="000000"/>
          <w:rtl w:val="1"/>
        </w:rPr>
        <w:t xml:space="preserve">أنَّ النّبيَّ ﷺ قال:  </w:t>
      </w:r>
      <w:r>
        <w:rPr>
          <w:color w:val="FF0000"/>
          <w:rtl w:val="1"/>
        </w:rPr>
        <w:t xml:space="preserve">«إنَّ اللهَ يُحبُّ إذا عَمِلَ أحدُكم عمَلًا أن يُتقِنَه».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قيم إتقان العمل - القيم الاقتصادية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