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6939</w:t>
        <w:br/>
      </w:r>
      <w:r>
        <w:rPr>
          <w:rtl w:val="1"/>
        </w:rPr>
        <w:t xml:space="preserve"> أخبرني عبد الله بن إسحاق بن إبراهيم الخُراساني العَدْل ببغداد، حدثنا إبراهيم بن الهيثم البَلَدي، حدثني إسماعيل بن أبي أُويس المدني، حدثني أبي، عن يحيى بن سعيد، عن عَمْرة، عن عائشة</w:t>
        <w:br/>
      </w:r>
      <w:r>
        <w:rPr>
          <w:color w:val="000000"/>
          <w:rtl w:val="1"/>
        </w:rPr>
        <w:t xml:space="preserve">قالت:  </w:t>
      </w:r>
      <w:r>
        <w:rPr>
          <w:color w:val="FF0000"/>
          <w:rtl w:val="1"/>
        </w:rPr>
        <w:t xml:space="preserve">قالَ رسولُ الله ﷺ لأزواجِه: «أسرَعُكُنَّ لُحوقًا بي أطوَلُكُنَّ يدًا»،  </w:t>
      </w:r>
      <w:r>
        <w:rPr>
          <w:color w:val="000000"/>
          <w:rtl w:val="1"/>
        </w:rPr>
        <w:t xml:space="preserve">قالت عائشةُ: فكنَّا إذا اجتَمعنا في بيتِ إحدانا بعدَ وفاةِ رسولِ الله ﷺ نَمُدُّ أيديَنا في الجِدار نَتَطاوَل،  </w:t>
      </w:r>
      <w:r>
        <w:rPr>
          <w:color w:val="000000"/>
          <w:rtl w:val="1"/>
        </w:rPr>
        <w:t xml:space="preserve">فلم نَزلْ نفعلُ ذلك حتَّى تُوفِّيَت زينبُ بنتُ جَحْش - وكانت امرأةً قَصيرةً ولم تكن أطوَلَنا -  </w:t>
      </w:r>
      <w:r>
        <w:rPr>
          <w:color w:val="FF0000"/>
          <w:rtl w:val="1"/>
        </w:rPr>
        <w:t xml:space="preserve">فعَرَفْنا حينئذٍ أنَّ النبيَّ ﷺ إنَّما أرادَ بطُول اليَدِ الصَّدَقةَ،  </w:t>
      </w:r>
      <w:r>
        <w:rPr>
          <w:color w:val="FF0000"/>
          <w:rtl w:val="1"/>
        </w:rPr>
        <w:t xml:space="preserve">وكانت زينبُ امرأةً صَنَاعًا باليد، وكانت تَدبُغُ وتَخرُزُ وتَصَّدَّقُ في سبيل الله. </w:t>
      </w:r>
      <w:r>
        <w:rPr>
          <w:color w:val="000000"/>
          <w:rtl w:val="1"/>
        </w:rPr>
        <w:t xml:space="preserve">هذا حديثٌ صحيحٌ على شرط مُسلم، ولم يُخرجاه. </w:t>
      </w:r>
    </w:p>
    <w:p>
      <w:pPr>
        <w:bidi w:val="1"/>
        <w:jc w:val="start"/>
      </w:pPr>
      <w:r>
        <w:rPr>
          <w:rtl w:val="1"/>
        </w:rPr>
        <w:t>درجة الحديث: صحيح</w:t>
      </w:r>
    </w:p>
    <w:p>
      <w:pPr>
        <w:bidi w:val="1"/>
        <w:jc w:val="start"/>
      </w:pPr>
      <w:r>
        <w:rPr>
          <w:rtl w:val="1"/>
        </w:rPr>
        <w:t>الشرح: الدلالة: قيمة الحرفة وعمل اليد - الحرص على الكَسْب المَشروع</w:t>
      </w:r>
    </w:p>
    <w:p>
      <w:pPr>
        <w:bidi w:val="1"/>
        <w:jc w:val="start"/>
      </w:pPr>
      <w:r>
        <w:rPr>
          <w:rtl w:val="1"/>
        </w:rPr>
        <w:t>الشرح: الدلالة: قيمة عمل المرأة - قيم حقوق العمال</w:t>
      </w:r>
    </w:p>
    <w:p>
      <w:pPr>
        <w:bidi w:val="1"/>
        <w:jc w:val="start"/>
      </w:pPr>
      <w:r>
        <w:rPr>
          <w:rtl w:val="1"/>
        </w:rPr>
        <w:t>الشرح: الدلالة: ما ورد في مطلَق الصدقة والحثِّ عليها - سابعًا: التكافل بالصدقة</w:t>
      </w:r>
    </w:p>
    <w:p>
      <w:pPr>
        <w:bidi w:val="1"/>
        <w:jc w:val="start"/>
      </w:pPr>
      <w:r>
        <w:rPr>
          <w:rtl w:val="1"/>
        </w:rPr>
        <w:t>الشرح: الدلالة: أولًا: قيمة العمل باليد والتكسب، والترفع عن السؤال - قيم التنمية والاكتفاء الذاتي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