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9369</w:t>
        <w:br/>
      </w:r>
      <w:r>
        <w:rPr>
          <w:rtl w:val="1"/>
        </w:rPr>
        <w:t xml:space="preserve"> حدثنا وكيع، عن إسرائيل، عن جابر، عن عطاء، عن ابن عباس</w:t>
        <w:br/>
      </w:r>
      <w:r>
        <w:rPr>
          <w:color w:val="FF0000"/>
          <w:rtl w:val="1"/>
        </w:rPr>
        <w:t xml:space="preserve">قال: «لا بأس أن يذوق الخل أو الشيء، ما لم يدخل حلقه وهو صائم».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ذوق الطعام - ما لا يبطل الصيام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