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الرمي في سبيل الله-كتاب فضائل الجهاد-سنن الترمذي — رقم الحديث: 1637 — الرقم الفرعي: 2</w:t>
        <w:br/>
      </w:r>
      <w:r>
        <w:rPr>
          <w:rtl w:val="1"/>
        </w:rPr>
        <w:t xml:space="preserve"> حدثنا أحمد بن منيع، حدثنا يزيد بن هارون، أخبرنا هشام الدستوائي، عن يحيى بن أبي كثير، عن أبي سلام، عن عبد الله بن الأزرق، عن عقبة بن عامر، عن النبي ﷺ</w:t>
        <w:br/>
      </w:r>
      <w:r>
        <w:rPr>
          <w:color w:val="000000"/>
          <w:rtl w:val="1"/>
        </w:rPr>
        <w:t xml:space="preserve">مثلَه. </w:t>
      </w:r>
      <w:r>
        <w:rPr>
          <w:color w:val="000000"/>
          <w:rtl w:val="1"/>
        </w:rPr>
        <w:t xml:space="preserve">وفي الباب، عن كعب بن مرة، وعمرو بن عبسة، وعبد الله بن عمرو.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