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5665</w:t>
        <w:br/>
      </w:r>
      <w:r>
        <w:rPr>
          <w:rtl w:val="1"/>
        </w:rPr>
        <w:t xml:space="preserve"> حدثنا عبد الله بن إدريس، عن محمد بن عجلان، عن نافع، عن ابن عمر:</w:t>
        <w:br/>
      </w:r>
      <w:r>
        <w:rPr>
          <w:color w:val="FF0000"/>
          <w:rtl w:val="1"/>
        </w:rPr>
        <w:t xml:space="preserve">أنّه كانَ يَغدٌو يومَ العِيد، ويُكبِّر، ويَرفعُ صَوتَه حتى يَبلُغَ الإمام.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الذكر والتكبير أيام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