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2959 — الرقم الفرعي: 1 — الرقم الأصلي: 2959</w:t>
        <w:br/>
      </w:r>
      <w:r>
        <w:rPr>
          <w:rtl w:val="1"/>
        </w:rPr>
        <w:t xml:space="preserve"> حدثني سُوَيد بن سعيد حدثني حفص بن مَيْسرة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«يقولُ العبدُ: مالِي، مالِي،  </w:t>
      </w:r>
      <w:r>
        <w:rPr>
          <w:color w:val="FF0000"/>
          <w:rtl w:val="1"/>
        </w:rPr>
        <w:t xml:space="preserve">إنَّما له مِن مالِه ثلاثٌ: ما أَكلَ فأَفنَى، أو لبِسَ فأَبلَى، أو أَعطَى فاقتنَى،  </w:t>
      </w:r>
      <w:r>
        <w:rPr>
          <w:color w:val="000000"/>
          <w:rtl w:val="1"/>
        </w:rPr>
        <w:t xml:space="preserve">وما سِوى ذلك فهو ذاهبٌ، وتارِكُه للنّاس».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سادسًا: عمل الإنسان يبقى معه بعد موته - القبر نعيمه وعذابه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