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مرّ على ماشية قومٍ أو حائطٍ،هل يصيب منه؟-كتاب التجارات-سنن ابن ماجة — رقم الحديث: 2300 — الرقم الفرعي: 99 — الرقم الأصلي: 2300</w:t>
        <w:br/>
      </w:r>
      <w:r>
        <w:rPr>
          <w:rtl w:val="1"/>
        </w:rPr>
        <w:t xml:space="preserve"> حدثنا محمد بن يحيى ثنا يزيد بن هارون أنبأنا الجُريريّ عن أبي نضرة عن أبي سعيد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أَتيتَ على راعٍ، فنادِهِ ثلاثَ مِرار، فإن أَجابَكَ وإلّا فاشرَبْ في غيرِ أن تُفسِد،  </w:t>
      </w:r>
      <w:r>
        <w:rPr>
          <w:color w:val="FF0000"/>
          <w:rtl w:val="1"/>
        </w:rPr>
        <w:t xml:space="preserve">وإذا أَتيتَ على حائطِ بُستان، فنادِ صاحبَ البُستانِ ثلاثَ مرَّات، فإن أَجابَكَ، وإلّا فكُلْ في أن لا تُفسِد».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الأكل من الثمر المعلق على الشجر والشرب من الماشية دون حمل - توزيع الغذاء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