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الجُبّة الشاميّة-كتاب الصلاة-صحيح البخاري — رقم الحديث: 363 — الرقم الفرعي: 99 — الرقم الأصلي: 363</w:t>
        <w:br/>
      </w:r>
      <w:r>
        <w:rPr>
          <w:rtl w:val="1"/>
        </w:rPr>
        <w:t xml:space="preserve"> حدثنا يحيى قال:حدثنا أبو معاوية عن الأعمش عن مسلم عن مسروق عن مغيرة بن شعبة</w:t>
        <w:br/>
      </w:r>
      <w:r>
        <w:rPr>
          <w:color w:val="000000"/>
          <w:rtl w:val="1"/>
        </w:rPr>
        <w:t xml:space="preserve">قال: كنتُ مع النبيِّ ﷺ في سفرٍ فقال: «يا مُغِيرةُ، خُذِ الإدَاوَةَ» فأخَذْتُها،  </w:t>
      </w:r>
      <w:r>
        <w:rPr>
          <w:color w:val="FF0000"/>
          <w:rtl w:val="1"/>
        </w:rPr>
        <w:t xml:space="preserve">فانطَلَقَ رسولُ الله ﷺ حتَّى تَوارَى عنِّي فقَضَى حاجَتَه  </w:t>
      </w:r>
      <w:r>
        <w:rPr>
          <w:color w:val="FF0000"/>
          <w:rtl w:val="1"/>
        </w:rPr>
        <w:t xml:space="preserve">وعليه جُبّةٌ شَأْمِيَّةٌ، فذهبَ لِيُخرِجَ يدَه مِن كُمِّها فضاقَتْ،  </w:t>
      </w:r>
      <w:r>
        <w:rPr>
          <w:color w:val="000000"/>
          <w:rtl w:val="1"/>
        </w:rPr>
        <w:t xml:space="preserve">فأخرَجَ يدَه مِن أسفَلِها،  </w:t>
      </w:r>
      <w:r>
        <w:rPr>
          <w:color w:val="FF0000"/>
          <w:rtl w:val="1"/>
        </w:rPr>
        <w:t xml:space="preserve">فصَبَبتُ عليه، فتَوضَّأ وُضُوءَه للصلاةِ  </w:t>
      </w:r>
      <w:r>
        <w:rPr>
          <w:color w:val="FF0000"/>
          <w:rtl w:val="1"/>
        </w:rPr>
        <w:t xml:space="preserve">ومَسَحَ على خُفَّيه،  </w:t>
      </w:r>
      <w:r>
        <w:rPr>
          <w:color w:val="FF0000"/>
          <w:rtl w:val="1"/>
        </w:rPr>
        <w:t xml:space="preserve">ثمَّ صَلَّى. </w:t>
      </w:r>
    </w:p>
    <w:p>
      <w:pPr>
        <w:bidi w:val="1"/>
        <w:jc w:val="start"/>
      </w:pPr>
      <w:r>
        <w:rPr>
          <w:rtl w:val="1"/>
        </w:rPr>
        <w:t>الشرح: الدلالة: لباس الإمام وهيئته - الإمام في الصلاة</w:t>
      </w:r>
    </w:p>
    <w:p>
      <w:pPr>
        <w:bidi w:val="1"/>
        <w:jc w:val="start"/>
      </w:pPr>
      <w:r>
        <w:rPr>
          <w:rtl w:val="1"/>
        </w:rPr>
        <w:t>الشرح: الدلالة: الاستتار - واجبات قضاء الحاجة</w:t>
      </w:r>
    </w:p>
    <w:p>
      <w:pPr>
        <w:bidi w:val="1"/>
        <w:jc w:val="start"/>
      </w:pPr>
      <w:r>
        <w:rPr>
          <w:rtl w:val="1"/>
        </w:rPr>
        <w:t>الشرح: الدلالة: الاستعانة بالغير في الوضوء - مباحات الوضوء</w:t>
      </w:r>
    </w:p>
    <w:p>
      <w:pPr>
        <w:bidi w:val="1"/>
        <w:jc w:val="start"/>
      </w:pPr>
      <w:r>
        <w:rPr>
          <w:rtl w:val="1"/>
        </w:rPr>
        <w:t>الشرح: الدلالة: مشروعية المسح على الخفين و الجوربين - المسح على الخفين والجوربين</w:t>
      </w:r>
    </w:p>
    <w:p>
      <w:pPr>
        <w:bidi w:val="1"/>
        <w:jc w:val="start"/>
      </w:pPr>
      <w:r>
        <w:rPr>
          <w:rtl w:val="1"/>
        </w:rPr>
        <w:t>الشرح: الدلالة: الجبة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الجبة: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في النعل والخف: - لباس النبي صلى الله عليه وسلم وهيئته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