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دخول الحمّام-كتاب الأدب-سنن الترمذي — رقم الحديث: 2801 — الرقم الفرعي: 99 — الرقم الأصلي: 2802</w:t>
        <w:br/>
      </w:r>
      <w:r>
        <w:rPr>
          <w:rtl w:val="1"/>
        </w:rPr>
        <w:t xml:space="preserve"> حدثنا القاسم بن دينار الكوفيّ حدثنا مصعب بن المقدام عن الحسن بن صالح عن ليث بن أبي سُليم عن طاووس عن جابر أنّ النبيّ صلى الله عليه وسلم</w:t>
        <w:br/>
      </w:r>
      <w:r>
        <w:rPr>
          <w:color w:val="FF0000"/>
          <w:rtl w:val="1"/>
        </w:rPr>
        <w:t xml:space="preserve">قال: «مَن كان يُؤمنُ باللهِ واليومِ الآخِر، فلا يَدخُل الحَمّامَ بغَير إزار،  </w:t>
      </w:r>
      <w:r>
        <w:rPr>
          <w:color w:val="000000"/>
          <w:rtl w:val="1"/>
        </w:rPr>
        <w:t xml:space="preserve">ومَن كان يُؤمنُ باللهِ واليومِ الآخِر، فلا يُدخِلْ حَليلتَه الحَمّام،  </w:t>
      </w:r>
      <w:r>
        <w:rPr>
          <w:color w:val="FF0000"/>
          <w:rtl w:val="1"/>
        </w:rPr>
        <w:t xml:space="preserve">ومَن كان يُؤمنُ باللهِ واليومِ الآخِر، فلا يَجلِسْ على مائدةٍ يُدارُ عليها الخَمر».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الاغتسال في الحمامات العامة - مباحات الاغتسال</w:t>
      </w:r>
    </w:p>
    <w:p>
      <w:pPr>
        <w:bidi w:val="1"/>
        <w:jc w:val="start"/>
      </w:pPr>
      <w:r>
        <w:rPr>
          <w:rtl w:val="1"/>
        </w:rPr>
        <w:t>الشرح: الدلالة: آداب الحمامات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شرط الأداء - أداء الحديث</w:t>
      </w:r>
    </w:p>
    <w:p>
      <w:pPr>
        <w:bidi w:val="1"/>
        <w:jc w:val="start"/>
      </w:pPr>
      <w:r>
        <w:rPr>
          <w:rtl w:val="1"/>
        </w:rPr>
        <w:t>الشرح: الدلالة: صدوق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الاستتار - كيفية الاغتسال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