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11329 — الرقم الفرعي: 99 — الرقم الأصلي: 11329</w:t>
        <w:br/>
      </w:r>
      <w:r>
        <w:rPr>
          <w:rtl w:val="1"/>
        </w:rPr>
        <w:t xml:space="preserve"> حدثنا عبد الله حدثني أبي ثنا يحيى بن آدم حدثنا ابن مُبارَك عن أُسامَة عن محمد بن يحيى بن حَبّان عن عمّه عن أبي سعيد الخدريّ قال:قال رسول الله،صلى الله عليه وسلم</w:t>
        <w:br/>
      </w:r>
      <w:r>
        <w:rPr>
          <w:color w:val="FF0000"/>
          <w:rtl w:val="1"/>
        </w:rPr>
        <w:t xml:space="preserve">«إنِّي نَهيتُكم عن زِيارةِ القُبور، فزُورُوها، فإنَّ فيها عِبْرَة،  </w:t>
      </w:r>
      <w:r>
        <w:rPr>
          <w:color w:val="000000"/>
          <w:rtl w:val="1"/>
        </w:rPr>
        <w:t xml:space="preserve">ونَهيتُكم عن النَّبيذ، فاشرَبُوا، ولا أُحِلُّ مُسْكِرًا،  </w:t>
      </w:r>
      <w:r>
        <w:rPr>
          <w:color w:val="000000"/>
          <w:rtl w:val="1"/>
        </w:rPr>
        <w:t xml:space="preserve">ونَهيتُكم عن الأضاحيِّ فكُلُوا». </w:t>
      </w:r>
    </w:p>
    <w:p>
      <w:pPr>
        <w:bidi w:val="1"/>
        <w:jc w:val="start"/>
      </w:pPr>
      <w:r>
        <w:rPr>
          <w:rtl w:val="1"/>
        </w:rPr>
        <w:t>درجة الحديث: صحيح / صحيح</w:t>
      </w:r>
    </w:p>
    <w:p>
      <w:pPr>
        <w:bidi w:val="1"/>
        <w:jc w:val="start"/>
      </w:pPr>
      <w:r>
        <w:rPr>
          <w:rtl w:val="1"/>
        </w:rPr>
        <w:t>الشرح: الدلالة: مشروعية زيارة القبور - زيارة القبور وآدابها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