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الجهاد والسيَر-كتاب الجهاد والسير-صحيح البخاري — رقم الحديث: 2783 — الرقم الفرعي: 99 — الرقم الأصلي: 2783</w:t>
        <w:br/>
      </w:r>
      <w:r>
        <w:rPr>
          <w:rtl w:val="1"/>
        </w:rPr>
        <w:t xml:space="preserve"> حدثنا عليّ بن عبد الله حدثنا يحيى بن سعيد حدثنا سفيان قال:حدثني منصور عن مجاهد عن طاوس عن ابن عباس رضي الله عنهما قال:قال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«لا هِجْرةَ بعدَ الفَتْحِ، ولكنْ جهادٌ ونِيَّةٌ، وإذا استُنفِرْتُم فانفِرُوا» </w:t>
      </w:r>
    </w:p>
    <w:p>
      <w:pPr>
        <w:bidi w:val="1"/>
        <w:jc w:val="start"/>
      </w:pPr>
      <w:r>
        <w:rPr>
          <w:rtl w:val="1"/>
        </w:rPr>
        <w:t>الشرح: الدلالة: نية المجاهد في سبيل الله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حكم الجهاد ومراحل تشريعه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