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نسي صلاةً فليُصلّ إذا ذكرها،ولا يعيد إلاّ تلك الصلاة-كتاب الصلاة-صحيح البخاري — رقم الحديث: 597 — الرقم الفرعي: 99 — الرقم الأصلي: 597</w:t>
        <w:br/>
      </w:r>
      <w:r>
        <w:rPr>
          <w:rtl w:val="1"/>
        </w:rPr>
        <w:t xml:space="preserve"> حدثنا أبو نُعيم و موسى بن إسماعيل قالا:حدثنا همّام عن قتادة عن أنس عن النبيّ صلى الله عليه وسلم</w:t>
        <w:br/>
      </w:r>
      <w:r>
        <w:rPr>
          <w:color w:val="FF0000"/>
          <w:rtl w:val="1"/>
        </w:rPr>
        <w:t xml:space="preserve">قال: «مَن نَسِيَ صلاةً فلْيُصلِّ إذا ذَكَرَها، لا كفَّارةَ لها إلّا ذلكَ، </w:t>
      </w:r>
      <w:r>
        <w:rPr>
          <w:color w:val="FF0000"/>
          <w:rtl w:val="1"/>
        </w:rPr>
        <w:t xml:space="preserve">{وَأَقِمِ الصَّلَاةَ لِذِكْرِي} [طه: 14]».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