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الصائم يذرعه القيء-أبواب الصوم-سنن الترمذي — رقم الحديث: 719 — الرقم الفرعي: 99 — الرقم الأصلي: 719</w:t>
        <w:br/>
      </w:r>
      <w:r>
        <w:rPr>
          <w:rtl w:val="1"/>
        </w:rPr>
        <w:t xml:space="preserve"> حدثنا محمد بن عبيدالمحاربيّ حدثنا عبد الرحمن بن زيد بن أسلم عن أبيه عن عطاء بن يسار عن أبي سعيد الخدريّ قال:قال رسول الله صلى الله عليه وسلم</w:t>
        <w:br/>
      </w:r>
      <w:r>
        <w:rPr>
          <w:color w:val="FF0000"/>
          <w:rtl w:val="1"/>
        </w:rPr>
        <w:t xml:space="preserve">«ثَلَاثٌ لَا يُفْطِرنَ الصائِمَ: الحِجَامةٌ، والقَيءُ، والاحتِلَام». </w:t>
      </w:r>
      <w:r>
        <w:rPr>
          <w:color w:val="000000"/>
          <w:rtl w:val="1"/>
        </w:rPr>
        <w:t xml:space="preserve">حديثُ أَبي سَعيد الخُدْري حَدِيثٌ غَير مَحفُوظ. </w:t>
      </w:r>
      <w:r>
        <w:rPr>
          <w:color w:val="000000"/>
          <w:rtl w:val="1"/>
        </w:rPr>
        <w:t xml:space="preserve">قد رَوَى عبدُ الله بنُ زَيد بنِ أَسلَم، وعَبدُ العَزِيز بن مُحَمَّد، وغَيرُ وَاحدٍ هذا الحديث، عن زَيدِ بنِ أَسلَمَ مُرسَلًا، ولَم يَذكُرُوا فيه عن أَبِي سَعِيد. وعبد الرحمن بن زَيد بن أَسلَم يُضعَّف في الحديث. </w:t>
      </w:r>
      <w:r>
        <w:rPr>
          <w:color w:val="000000"/>
          <w:rtl w:val="1"/>
        </w:rPr>
        <w:t xml:space="preserve">سمعتُ أَبا َداود السِّجْزِي يقولُ: سَألتُ أَحمدَ بنَ حَنبَل، عن عبد الرحمٰن بن زَيد بن أَسلم، فقال: أَخوه عبد الله بن زَيد لا بأسَ بِهِ.  </w:t>
      </w:r>
      <w:r>
        <w:rPr>
          <w:color w:val="000000"/>
          <w:rtl w:val="1"/>
        </w:rPr>
        <w:t xml:space="preserve">وسمعت محمدًا يَذكر، عن عَلِيِّ بن عَبدِ الله المَدِيني قال: عبد الله بن زَيد بن أَسلَم ثِقَة، وعَبد الرحمن بن زَيد بن أَسلَم ضَعِيف. قال مُحمَّد: وَلَا أَروِي عَنه شَيئًا. </w:t>
      </w:r>
    </w:p>
    <w:p>
      <w:pPr>
        <w:bidi w:val="1"/>
        <w:jc w:val="start"/>
      </w:pPr>
      <w:r>
        <w:rPr>
          <w:rtl w:val="1"/>
        </w:rPr>
        <w:t xml:space="preserve">درجة الحديث: إسناده ضعيف  / إسناده ضعيف </w:t>
      </w:r>
    </w:p>
    <w:p>
      <w:pPr>
        <w:bidi w:val="1"/>
        <w:jc w:val="start"/>
      </w:pPr>
      <w:r>
        <w:rPr>
          <w:rtl w:val="1"/>
        </w:rPr>
        <w:t>الشرح: الدلالة: الحجامة أو القيء أو الاحتلام.. - ما لا يبطل الصيام</w:t>
      </w:r>
    </w:p>
    <w:p>
      <w:pPr>
        <w:bidi w:val="1"/>
        <w:jc w:val="start"/>
      </w:pPr>
      <w:r>
        <w:rPr>
          <w:rtl w:val="1"/>
        </w:rPr>
        <w:t>الشرح: الدلالة: مراعاة الفطرة الإنسانية - المباديء</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التدرج في التعليم - الأساليب التعليمية</w:t>
      </w:r>
    </w:p>
    <w:p>
      <w:pPr>
        <w:bidi w:val="1"/>
        <w:jc w:val="start"/>
      </w:pPr>
      <w:r>
        <w:rPr>
          <w:rtl w:val="1"/>
        </w:rPr>
        <w:t>الشرح: الدلالة: العدالة - من تقبل روايته - من تقبل روايته</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ضعيف.، - أقسام الرواة جرحا وتعديلا</w:t>
      </w:r>
    </w:p>
    <w:p>
      <w:pPr>
        <w:bidi w:val="1"/>
        <w:jc w:val="start"/>
      </w:pPr>
      <w:r>
        <w:rPr>
          <w:rtl w:val="1"/>
        </w:rPr>
        <w:t>الشرح: الدلالة: لا بأس به(ليس به بأس، ما أرى به بأسا)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