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غسل الحائض رأس زوجها،وترجيله،وطهارة سؤرها ،والاتكاء في حجرها-كتاب الحيض-صحيح مسلم — رقم الحديث: 298 — الرقم الفرعي: 1 — الرقم الأصلي: 298</w:t>
        <w:br/>
      </w:r>
      <w:r>
        <w:rPr>
          <w:rtl w:val="1"/>
        </w:rPr>
        <w:t xml:space="preserve"> وحدثنا يحيى بن يحيى و أبو بكر بن أبي شيبة و أبو كُريب ملاحظة قال يحيى:أخبرنا وقال الآخران:حدّثنا أبو معاوية عن الأعمش عن ثابت بن عبيد عن القاسم بن محمد عن عائشة</w:t>
        <w:br/>
      </w:r>
      <w:r>
        <w:rPr>
          <w:color w:val="FF0000"/>
          <w:rtl w:val="1"/>
        </w:rPr>
        <w:t xml:space="preserve">قالت: قال لي رسولُ الله ﷺ: «ناوِلينِي الخُمرةَ، من المَسجد»،  </w:t>
      </w:r>
      <w:r>
        <w:rPr>
          <w:color w:val="FF0000"/>
          <w:rtl w:val="1"/>
        </w:rPr>
        <w:t xml:space="preserve">قالت: فقلتُ: إنِّي حائِض،  </w:t>
      </w:r>
      <w:r>
        <w:rPr>
          <w:color w:val="FF0000"/>
          <w:rtl w:val="1"/>
        </w:rPr>
        <w:t xml:space="preserve">فقال: «إنَّ حيضَتَك ليسَتْ في يدِكِ».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لبث الجنب والحائض في المسجد - ما ينهى عنه في المسجد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مخالطة الزوج لزوجته الحائض - ما يباح في الحيض</w:t>
      </w:r>
    </w:p>
    <w:p>
      <w:pPr>
        <w:bidi w:val="1"/>
        <w:jc w:val="start"/>
      </w:pPr>
      <w:r>
        <w:rPr>
          <w:rtl w:val="1"/>
        </w:rPr>
        <w:t>الشرح: الدلالة: دخول المسجد - ما ينهى عنه في الحيض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