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الصائم يصبح جنباً-كتاب الصوم-صحيح البخاري — رقم الحديث: 1926 — الرقم الفرعي: 99 — الرقم الأصلي: 1926</w:t>
        <w:br/>
      </w:r>
      <w:r>
        <w:rPr>
          <w:rtl w:val="1"/>
        </w:rPr>
        <w:t xml:space="preserve"> ح حدثنا أبو اليمان أخبرنا شعيب عن الزهريّ قال:أخبرني أبو بكر بن عبد الرحمن بن الحارث بن هشام أنّ أباه،عبد الرحمن أخبر مروان أنّ عائشة و أمّ سلمة</w:t>
        <w:br/>
      </w:r>
      <w:r>
        <w:rPr>
          <w:color w:val="FF0000"/>
          <w:rtl w:val="1"/>
        </w:rPr>
        <w:t xml:space="preserve">أخبَرتَاهُ: أنَّ رسولَ الله ﷺ كان يُدرِكُه الفجرُ وهو جُنُبٌ من أهلِه،  </w:t>
      </w:r>
      <w:r>
        <w:rPr>
          <w:color w:val="FF0000"/>
          <w:rtl w:val="1"/>
        </w:rPr>
        <w:t xml:space="preserve">ثمَّ يَغتَسِلُ ويصومُ. </w:t>
      </w:r>
      <w:r>
        <w:rPr>
          <w:color w:val="000000"/>
          <w:rtl w:val="1"/>
        </w:rPr>
        <w:t xml:space="preserve">وقال مروانُ لعبدِ الرَّحمنِ بنِ الحارثِ: أُقسِمُ بالله لَتُقَرِّعنَّ بها أبا هُرَيرةَ،  </w:t>
      </w:r>
      <w:r>
        <w:rPr>
          <w:color w:val="000000"/>
          <w:rtl w:val="1"/>
        </w:rPr>
        <w:t xml:space="preserve">ومروانُ يومَئذٍ على المدينةِ.  </w:t>
      </w:r>
      <w:r>
        <w:rPr>
          <w:color w:val="000000"/>
          <w:rtl w:val="1"/>
        </w:rPr>
        <w:t xml:space="preserve">فقال أبو بكرٍ: فكَرِهَ ذلكَ عبدُ الرَّحمنِ،  </w:t>
      </w:r>
      <w:r>
        <w:rPr>
          <w:color w:val="000000"/>
          <w:rtl w:val="1"/>
        </w:rPr>
        <w:t xml:space="preserve">ثمَّ قُدِّرَ لنا أنْ نَجْتَمِعَ بذِي الحُلَيفةِ،  </w:t>
      </w:r>
      <w:r>
        <w:rPr>
          <w:color w:val="000000"/>
          <w:rtl w:val="1"/>
        </w:rPr>
        <w:t xml:space="preserve">وكانت لأبي هُرَيرةَ هُنالكَ أرضٌ،  </w:t>
      </w:r>
      <w:r>
        <w:rPr>
          <w:color w:val="FF0000"/>
          <w:rtl w:val="1"/>
        </w:rPr>
        <w:t xml:space="preserve">فقال عبدُ الرَّحمنِ لأبي هُرَيرةَ: إنّي ذاكِرٌ لكَ أمراً، ولولا مروانُ أقسَمَ عليَّ فيه لم أذكُرْه لكَ؛  </w:t>
      </w:r>
      <w:r>
        <w:rPr>
          <w:color w:val="FF0000"/>
          <w:rtl w:val="1"/>
        </w:rPr>
        <w:t xml:space="preserve">فذَكَرَ قولَ عائشةَ وأمِّ سَلَمةَ،  </w:t>
      </w:r>
      <w:r>
        <w:rPr>
          <w:color w:val="FF0000"/>
          <w:rtl w:val="1"/>
        </w:rPr>
        <w:t xml:space="preserve">فقال: كذلكَ حدَّثني الفَضْلُ بنُ عبَّاسٍ، وهو أعلَمُ. </w:t>
      </w:r>
      <w:r>
        <w:rPr>
          <w:color w:val="000000"/>
          <w:rtl w:val="1"/>
        </w:rPr>
        <w:t xml:space="preserve">وقال همَّامٌ وابنُ عبدِ الله بنِ عمرَ، عن أبي هُرَيرةَ: كان النبيُّ ﷺ يأمُرُ بالفِطْرِ. </w:t>
      </w:r>
      <w:r>
        <w:rPr>
          <w:color w:val="000000"/>
          <w:rtl w:val="1"/>
        </w:rPr>
        <w:t xml:space="preserve">والأوَّلُ أسنَدُ.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أسباب الجنابة (الجماع أو خروج المني) - الجنابة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الجنابة - أسباب الغسل</w:t>
      </w:r>
    </w:p>
    <w:p>
      <w:pPr>
        <w:bidi w:val="1"/>
        <w:jc w:val="start"/>
      </w:pPr>
      <w:r>
        <w:rPr>
          <w:rtl w:val="1"/>
        </w:rPr>
        <w:t>الشرح: الدلالة: تأخير غسل الجنابة - ما لا يبطل الصيام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الاغتسال - ما لا يبطل الصيام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