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ابن السبيل يأكل من التمر ويشرب من اللبن إذا مرّ به-كتاب الجهاد-سنن أبي داود — رقم الحديث: 2620 — الرقم الفرعي: 99 — الرقم الأصلي: 2620</w:t>
        <w:br/>
      </w:r>
      <w:r>
        <w:rPr>
          <w:rtl w:val="1"/>
        </w:rPr>
        <w:t xml:space="preserve"> حدثنا عبيدالله بن معاذ العنبريّ ثنا أبي ثنا شعبة عن أبي بِشر عن عباد بن شُرحبيل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أَصابتْني سَنَةٌ فدخَلْتُ حائطًا من حيطانِ المدينة فَفركْتُ سُنْبُلًا، فأكلْتُ وحَمَلْتُ في ثوبي،  </w:t>
      </w:r>
      <w:r>
        <w:rPr>
          <w:color w:val="FF0000"/>
          <w:rtl w:val="1"/>
        </w:rPr>
        <w:t xml:space="preserve">فجاء صاحبُه فضربني وأخذَ ثَوبي،  </w:t>
      </w:r>
      <w:r>
        <w:rPr>
          <w:color w:val="FF0000"/>
          <w:rtl w:val="1"/>
        </w:rPr>
        <w:t xml:space="preserve">فأتيتُ رسولَ الله ﷺ فقال له:  </w:t>
      </w:r>
      <w:r>
        <w:rPr>
          <w:color w:val="FF0000"/>
          <w:rtl w:val="1"/>
        </w:rPr>
        <w:t xml:space="preserve">«ما علَّمْتَ إذ كانَ جاهِلًا، ولا أطعَمتَ إذ كان جائعًا - أو قال: ساغِبًا»  </w:t>
      </w:r>
      <w:r>
        <w:rPr>
          <w:color w:val="FF0000"/>
          <w:rtl w:val="1"/>
        </w:rPr>
        <w:t xml:space="preserve">وأمره فردَّ عليَّ ثوبي،  </w:t>
      </w:r>
      <w:r>
        <w:rPr>
          <w:color w:val="FF0000"/>
          <w:rtl w:val="1"/>
        </w:rPr>
        <w:t xml:space="preserve">وأعطاني وسْقًا أو نِصفَ وَسْقٍ من طعامٍ.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الأكل من الثمر المعلق على الشجر والشرب من الماشية دون حمل - توزيع الغذاء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التعليم والتدريب - الصحة التأهيلية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