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ابن السبيل يأكل من التمر ويشرب من اللبن إذا مرّ به-كتاب الجهاد-سنن أبي داود — رقم الحديث: 2619 — الرقم الفرعي: 99 — الرقم الأصلي: 2619</w:t>
        <w:br/>
      </w:r>
      <w:r>
        <w:rPr>
          <w:rtl w:val="1"/>
        </w:rPr>
        <w:t xml:space="preserve"> حدثنا عياش بن الوليد الرقام ثنا عبد الأعلى ثنا سعيد عن قتادة عن الحسن عن سمرة بن جندب أنّ نبيّ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أتى أَحدُكم على ماشيةٍ: فإن كانَ فيها صاحبُها فلْيستأْذنْهُ،  </w:t>
      </w:r>
      <w:r>
        <w:rPr>
          <w:color w:val="FF0000"/>
          <w:rtl w:val="1"/>
        </w:rPr>
        <w:t xml:space="preserve">فإن أَذِنَ له فلْيَحتلِبْ ولْيشربْ،  </w:t>
      </w:r>
      <w:r>
        <w:rPr>
          <w:color w:val="FF0000"/>
          <w:rtl w:val="1"/>
        </w:rPr>
        <w:t xml:space="preserve">فإن لم يكُن فيها فليُصَوِّتْ ثلاثًا، فإن أَجابَه فلْيستأْذنْه،  </w:t>
      </w:r>
      <w:r>
        <w:rPr>
          <w:color w:val="FF0000"/>
          <w:rtl w:val="1"/>
        </w:rPr>
        <w:t xml:space="preserve">وإلّا فلَيحْتلِب ولْيشربْ ولا يَحمِلْ».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الأكل من الثمر المعلق على الشجر والشرب من الماشية دون حمل - توزيع الغذاء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السماع - طرق تحمل الحديث</w:t>
      </w:r>
    </w:p>
    <w:p>
      <w:pPr>
        <w:bidi w:val="1"/>
        <w:jc w:val="start"/>
      </w:pPr>
      <w:r>
        <w:rPr>
          <w:rtl w:val="1"/>
        </w:rPr>
        <w:t>الشرح: الدلالة: قيمة الاستئذان في حلب ماشية الغير - مظاهر قيمة الاستئذان</w:t>
      </w:r>
    </w:p>
    <w:p>
      <w:pPr>
        <w:bidi w:val="1"/>
        <w:jc w:val="start"/>
      </w:pPr>
      <w:r>
        <w:rPr>
          <w:rtl w:val="1"/>
        </w:rPr>
        <w:t>الشرح: الدلالة: ضبط الكتاب - ضبط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