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اشترط في المزارعة-كتاب الشروط-صحيح البخاري — رقم الحديث: 2730 — الرقم الفرعي: 99 — الرقم الأصلي: 2730</w:t>
        <w:br/>
      </w:r>
      <w:r>
        <w:rPr>
          <w:rtl w:val="1"/>
        </w:rPr>
        <w:t xml:space="preserve"> حدثنا أبو أحمد حدثنا محمد بن يحيى،أبو غسان الكنانيّ أخبرنا مالك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فَدَعَ أهلُ خَيبَر عبدَ الله بنَ عمرَ، قامَ عمرُ خَطِيبًا، فقال:  </w:t>
      </w:r>
      <w:r>
        <w:rPr>
          <w:color w:val="FF0000"/>
          <w:rtl w:val="1"/>
        </w:rPr>
        <w:t xml:space="preserve">إنَّ رسولَ الله ﷺ كانَ عامَلَ يهودَ خَيبَر على أموالهم، وقال: «نُقِرُّكم ما أقَرَّكُم اللهُ»،  </w:t>
      </w:r>
      <w:r>
        <w:rPr>
          <w:color w:val="FF0000"/>
          <w:rtl w:val="1"/>
        </w:rPr>
        <w:t xml:space="preserve">وإنَّ عبدَ الله بنَ عمرَ خَرَجَ إلى مالِه هُناكَ، فعُدِيَ عليه مِن اللَّيلِ، ففُدِعَتْ يَداهُ ورِجْلاه،  </w:t>
      </w:r>
      <w:r>
        <w:rPr>
          <w:color w:val="FF0000"/>
          <w:rtl w:val="1"/>
        </w:rPr>
        <w:t xml:space="preserve">وليس لنا هُناكَ عَدُوٌّ غيرُهُم، هم عَدُوُّنا وتُهْمَتُنا، وقد رأيتُ إجْلاءَهُم.  </w:t>
      </w:r>
      <w:r>
        <w:rPr>
          <w:color w:val="FF0000"/>
          <w:rtl w:val="1"/>
        </w:rPr>
        <w:t xml:space="preserve">فلمّا أجْمَعَ عمرُ على ذلكَ أتاه أحدُ بني أبي الحُقَيقِ، فقال: يا أميرَ المؤمنينَ، أتُخرِجُنا وقد أقَرَّنا محمَّدٌ، وعامَلَنا على الأموالِ، وشَرَطَ ذلكَ لنا؟  </w:t>
      </w:r>
      <w:r>
        <w:rPr>
          <w:color w:val="FF0000"/>
          <w:rtl w:val="1"/>
        </w:rPr>
        <w:t xml:space="preserve">فقال عمرُ: أظَنَنتَ أنّي نَسِيتُ قولَ رسولِ الله ﷺ: «كيفَ بكَ إذا أُخرِجْتَ مِن خَيبَر تَعْدُو بكَ قَلُوصُكَ ليلةً بعدَ ليلةٍ»؟  </w:t>
      </w:r>
      <w:r>
        <w:rPr>
          <w:color w:val="FF0000"/>
          <w:rtl w:val="1"/>
        </w:rPr>
        <w:t xml:space="preserve">فقال: كانت هذه هُزَيلةً مِن أبي القاسمِ،  </w:t>
      </w:r>
      <w:r>
        <w:rPr>
          <w:color w:val="FF0000"/>
          <w:rtl w:val="1"/>
        </w:rPr>
        <w:t xml:space="preserve">قال: كَذَبْتَ يا عَدُوَّ الله.  </w:t>
      </w:r>
      <w:r>
        <w:rPr>
          <w:color w:val="FF0000"/>
          <w:rtl w:val="1"/>
        </w:rPr>
        <w:t xml:space="preserve">فأجْلاهم عمرُ، وأعطاهم قِيمةَ ما كانَ لهم منَ الثَّمَرِ مالًا وإبلًا، وعُرُوضًا مِن أقتابٍ وحِبالٍ وغيرِ ذلك. </w:t>
      </w:r>
      <w:r>
        <w:rPr>
          <w:color w:val="000000"/>
          <w:rtl w:val="1"/>
        </w:rPr>
        <w:t xml:space="preserve">رَوَاه حمَّادُ بنُ سَلَمةَ، عن عُبيدِ الله، أحسِبُه عن نافعٍ، عن ابنِ عمرَ، عن عمرَ، عن النبيِّ ﷺ؛ اختَصَرَه. 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نصرة المظلومين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مشروعية القضاء بالقرائن - القرائن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الاستقرار العام (اجتماعي,سياسي,اقتصادي)</w:t>
      </w:r>
    </w:p>
    <w:p>
      <w:pPr>
        <w:bidi w:val="1"/>
        <w:jc w:val="start"/>
      </w:pPr>
      <w:r>
        <w:rPr>
          <w:rtl w:val="1"/>
        </w:rPr>
        <w:t>الشرح: الدلالة: خدمة المجتمع وتنميته</w:t>
      </w:r>
    </w:p>
    <w:p>
      <w:pPr>
        <w:bidi w:val="1"/>
        <w:jc w:val="start"/>
      </w:pPr>
      <w:r>
        <w:rPr>
          <w:rtl w:val="1"/>
        </w:rPr>
        <w:t>الشرح: الدلالة: عدل عمر، رضي الله عنه - مظاهر قيمة العدل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عدم قضاء القاضي على من كانت بينه وبينه عداوة - آداب القاضي</w:t>
      </w:r>
    </w:p>
    <w:p>
      <w:pPr>
        <w:bidi w:val="1"/>
        <w:jc w:val="start"/>
      </w:pPr>
      <w:r>
        <w:rPr>
          <w:rtl w:val="1"/>
        </w:rPr>
        <w:t>الشرح: الدلالة: تحريك الدعوى - الدعوى</w:t>
      </w:r>
    </w:p>
    <w:p>
      <w:pPr>
        <w:bidi w:val="1"/>
        <w:jc w:val="start"/>
      </w:pPr>
      <w:r>
        <w:rPr>
          <w:rtl w:val="1"/>
        </w:rPr>
        <w:t>الشرح: الدلالة: قبول الدعوى - الدعوى</w:t>
      </w:r>
    </w:p>
    <w:p>
      <w:pPr>
        <w:bidi w:val="1"/>
        <w:jc w:val="start"/>
      </w:pPr>
      <w:r>
        <w:rPr>
          <w:rtl w:val="1"/>
        </w:rPr>
        <w:t>الشرح: الدلالة: الموضوعات التي يقضى فيها بالقرائن - أنواع القرائن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متى يقضى على الغائب - القضاء على الغائب</w:t>
      </w:r>
    </w:p>
    <w:p>
      <w:pPr>
        <w:bidi w:val="1"/>
        <w:jc w:val="start"/>
      </w:pPr>
      <w:r>
        <w:rPr>
          <w:rtl w:val="1"/>
        </w:rPr>
        <w:t>الشرح: الدلالة: الموضوعات التي يقضى فيها على الغائب - القضاء على الغائب</w:t>
      </w:r>
    </w:p>
    <w:p>
      <w:pPr>
        <w:bidi w:val="1"/>
        <w:jc w:val="start"/>
      </w:pPr>
      <w:r>
        <w:rPr>
          <w:rtl w:val="1"/>
        </w:rPr>
        <w:t>الشرح: الدلالة: حضور الغائب بعد الحكم عليه والاعتراض على الحكم - القضاء على الغائب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قاضي الدماء - أنواع المحاكم</w:t>
      </w:r>
    </w:p>
    <w:p>
      <w:pPr>
        <w:bidi w:val="1"/>
        <w:jc w:val="start"/>
      </w:pPr>
      <w:r>
        <w:rPr>
          <w:rtl w:val="1"/>
        </w:rPr>
        <w:t>الشرح: الدلالة: تحديد الهدف(المشكلة)</w:t>
      </w:r>
    </w:p>
    <w:p>
      <w:pPr>
        <w:bidi w:val="1"/>
        <w:jc w:val="start"/>
      </w:pPr>
      <w:r>
        <w:rPr>
          <w:rtl w:val="1"/>
        </w:rPr>
        <w:t>الشرح: الدلالة: التنفيذ - خطوات اتخاذ القرار (مراحل)</w:t>
      </w:r>
    </w:p>
    <w:p>
      <w:pPr>
        <w:bidi w:val="1"/>
        <w:jc w:val="start"/>
      </w:pPr>
      <w:r>
        <w:rPr>
          <w:rtl w:val="1"/>
        </w:rPr>
        <w:t>الشرح: الدلالة: المبادىء(فلسفة الإدارة)</w:t>
      </w:r>
    </w:p>
    <w:p>
      <w:pPr>
        <w:bidi w:val="1"/>
        <w:jc w:val="start"/>
      </w:pPr>
      <w:r>
        <w:rPr>
          <w:rtl w:val="1"/>
        </w:rPr>
        <w:t>الشرح: الدلالة: الظروف (المواقف)</w:t>
      </w:r>
    </w:p>
    <w:p>
      <w:pPr>
        <w:bidi w:val="1"/>
        <w:jc w:val="start"/>
      </w:pPr>
      <w:r>
        <w:rPr>
          <w:rtl w:val="1"/>
        </w:rPr>
        <w:t>الشرح: الدلالة: شخصية متخذ القرار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الالتزام بعقد الذمة - واجبات أهل الذمة</w:t>
      </w:r>
    </w:p>
    <w:p>
      <w:pPr>
        <w:bidi w:val="1"/>
        <w:jc w:val="start"/>
      </w:pPr>
      <w:r>
        <w:rPr>
          <w:rtl w:val="1"/>
        </w:rPr>
        <w:t>الشرح: الدلالة: الولاء للدولة الإسلامية - واجبات أهل الذمة</w:t>
      </w:r>
    </w:p>
    <w:p>
      <w:pPr>
        <w:bidi w:val="1"/>
        <w:jc w:val="start"/>
      </w:pPr>
      <w:r>
        <w:rPr>
          <w:rtl w:val="1"/>
        </w:rPr>
        <w:t>الشرح: الدلالة: الخضوع للنظام العام - واجبات أهل الذمة</w:t>
      </w:r>
    </w:p>
    <w:p>
      <w:pPr>
        <w:bidi w:val="1"/>
        <w:jc w:val="start"/>
      </w:pPr>
      <w:r>
        <w:rPr>
          <w:rtl w:val="1"/>
        </w:rPr>
        <w:t>الشرح: الدلالة: حرية التدين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التملك والعمل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التعبير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المسكن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الانتقال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المحافظة على حدود الدولة وأرضها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