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وفد بني حنيفة-كتاب المغازي-صحيح البخاري — رقم الحديث: 4372 — الرقم الفرعي: 99 — الرقم الأصلي: 4372</w:t>
        <w:br/>
      </w:r>
      <w:r>
        <w:rPr>
          <w:rtl w:val="1"/>
        </w:rPr>
        <w:t xml:space="preserve"> حدثنا عبد الله بن يوسف حدثنا الليث قال:حدثني سعيد بن أبي سعيد أنه سمع أباهريرة،رضي الله عنه</w:t>
        <w:br/>
      </w:r>
      <w:r>
        <w:rPr>
          <w:color w:val="FF0000"/>
          <w:rtl w:val="1"/>
        </w:rPr>
        <w:t xml:space="preserve">قال: بَعَثَ النبيُّ ﷺ خيلاً قِبَلَ نَجْدٍ،  </w:t>
      </w:r>
      <w:r>
        <w:rPr>
          <w:color w:val="FF0000"/>
          <w:rtl w:val="1"/>
        </w:rPr>
        <w:t xml:space="preserve">فجاءَتْ برجلٍ من بني حَنِيفةَ يُقالُ له: ثُمامةُ بنُ أُثَالٍ،  </w:t>
      </w:r>
      <w:r>
        <w:rPr>
          <w:color w:val="FF0000"/>
          <w:rtl w:val="1"/>
        </w:rPr>
        <w:t xml:space="preserve">فرَبَطُوه بساريةٍ من سَوَاري المسجدِ،  </w:t>
      </w:r>
      <w:r>
        <w:rPr>
          <w:color w:val="FF0000"/>
          <w:rtl w:val="1"/>
        </w:rPr>
        <w:t xml:space="preserve">فخَرَجَ إليه النبيُّ ﷺ فقال: «ما عندَكَ يا ثُمامةُ؟»  </w:t>
      </w:r>
      <w:r>
        <w:rPr>
          <w:color w:val="FF0000"/>
          <w:rtl w:val="1"/>
        </w:rPr>
        <w:t xml:space="preserve">فقال: عِنْدي خَيرٌ يا محمَّدُ، إنْ تَقْتُلْني تَقْتُلْ ذا دَمٍ، وإنْ تُنعِم تُنعِم على شاكِرٍ، وإنْ كنتَ تُرِيدُ المالَ فسَلْ منه ما شِئْتَ.  </w:t>
      </w:r>
      <w:r>
        <w:rPr>
          <w:color w:val="FF0000"/>
          <w:rtl w:val="1"/>
        </w:rPr>
        <w:t xml:space="preserve">حتَّى كانَ الغَدُ، ثمَّ قال له: «ما عندَكَ يا ثُمامةُ؟»  </w:t>
      </w:r>
      <w:r>
        <w:rPr>
          <w:color w:val="FF0000"/>
          <w:rtl w:val="1"/>
        </w:rPr>
        <w:t xml:space="preserve">قال: ما قلتُ لَكَ: إنْ تُنعِم تُنعِم على شاكِرٍ.  </w:t>
      </w:r>
      <w:r>
        <w:rPr>
          <w:color w:val="FF0000"/>
          <w:rtl w:val="1"/>
        </w:rPr>
        <w:t xml:space="preserve">فتَرَكَه حتَّى كانَ بعدَ الغَدِ، فقال: «ما عندَكَ يا ثُمامةُ؟»  </w:t>
      </w:r>
      <w:r>
        <w:rPr>
          <w:color w:val="FF0000"/>
          <w:rtl w:val="1"/>
        </w:rPr>
        <w:t xml:space="preserve">فقال: عِنْدي ما قلتُ لَكَ.  </w:t>
      </w:r>
      <w:r>
        <w:rPr>
          <w:color w:val="FF0000"/>
          <w:rtl w:val="1"/>
        </w:rPr>
        <w:t xml:space="preserve">فقال: «أطلِقوا ثُمامةَ».  </w:t>
      </w:r>
      <w:r>
        <w:rPr>
          <w:color w:val="FF0000"/>
          <w:rtl w:val="1"/>
        </w:rPr>
        <w:t xml:space="preserve">فانطَلَق إلى نَخْلٍ قَرِيبٍ منَ المسجدِ، فاغتَسَلَ، ثمَّ دَخَلَ المسجدَ،  </w:t>
      </w:r>
      <w:r>
        <w:rPr>
          <w:color w:val="FF0000"/>
          <w:rtl w:val="1"/>
        </w:rPr>
        <w:t xml:space="preserve">فقال: أشهَدُ أنْ لا إلهَ إلَّا الله، وأشهَدُ أنَّ محمَّداً رسولُ الله،  </w:t>
      </w:r>
      <w:r>
        <w:rPr>
          <w:color w:val="FF0000"/>
          <w:rtl w:val="1"/>
        </w:rPr>
        <w:t xml:space="preserve">يا محمَّدُ، والله ما كانَ على الأرضِ وجهٌ أبغَضَ إليَّ من وجهِكَ، فقد أصبَحَ وجهُكَ أحَبَّ الوجوه إليَّ،  </w:t>
      </w:r>
      <w:r>
        <w:rPr>
          <w:color w:val="FF0000"/>
          <w:rtl w:val="1"/>
        </w:rPr>
        <w:t xml:space="preserve">والله ما كانَ من دِينٍ أبغَضَ إليَّ من دِينِكَ، فأصبَحَ دِينُكَ أحَبَّ الدِّينِ إليَّ،  </w:t>
      </w:r>
      <w:r>
        <w:rPr>
          <w:color w:val="000000"/>
          <w:rtl w:val="1"/>
        </w:rPr>
        <w:t xml:space="preserve">والله ما كانَ من بَلَدٍ أبغَضَ إليَّ من بَلَدِكَ، فأصبَحَ بَلَدُكَ أحَبَّ البِلادِ إليَّ،  </w:t>
      </w:r>
      <w:r>
        <w:rPr>
          <w:color w:val="000000"/>
          <w:rtl w:val="1"/>
        </w:rPr>
        <w:t xml:space="preserve">وإنَّ خيلَكَ أخَذَتْني وأنا أُرِيدُ العُمْرةَ، فماذا تَرَى؟  </w:t>
      </w:r>
      <w:r>
        <w:rPr>
          <w:color w:val="000000"/>
          <w:rtl w:val="1"/>
        </w:rPr>
        <w:t xml:space="preserve">فبَشَّرَه رسولُ الله ﷺ، وأمَرَه أنْ يَعْتَمِرَ،  </w:t>
      </w:r>
      <w:r>
        <w:rPr>
          <w:color w:val="000000"/>
          <w:rtl w:val="1"/>
        </w:rPr>
        <w:t xml:space="preserve">فلمّا قَدِمَ مكَّةَ قال له قائلٌ: صَبَوْتَ؟! قال: لا، ولكنْ أسلَمْتُ معَ محمَّدٍ رسولِ الله ﷺ،  </w:t>
      </w:r>
      <w:r>
        <w:rPr>
          <w:color w:val="000000"/>
          <w:rtl w:val="1"/>
        </w:rPr>
        <w:t xml:space="preserve">ولا والله لا يأتيكُم منَ اليَمامةِ حَبّةُ حِنْطةٍ، حتَّى يَأْذَنَ فيها النبيُّ ﷺ. 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إحسان معاملة الأسرى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التعريف بالمدعوين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التبادل التجاري (التجارة الدولية)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شبهات حول طبيعة الدعوة نفسها</w:t>
      </w:r>
    </w:p>
    <w:p>
      <w:pPr>
        <w:bidi w:val="1"/>
        <w:jc w:val="start"/>
      </w:pPr>
      <w:r>
        <w:rPr>
          <w:rtl w:val="1"/>
        </w:rPr>
        <w:t>الشرح: الدلالة: شبهات حول رسول الدعوة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الدخول في الإسلام - أسباب الغسل</w:t>
      </w:r>
    </w:p>
    <w:p>
      <w:pPr>
        <w:bidi w:val="1"/>
        <w:jc w:val="start"/>
      </w:pPr>
      <w:r>
        <w:rPr>
          <w:rtl w:val="1"/>
        </w:rPr>
        <w:t>الشرح: الدلالة: قيمة العفو عن الأسرى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قيمة مداراة أصحاب الجاه والمنصب - قيم المُداراة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بسلامة فطرة الرجل فيتأنى في دعوته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لبعض المشركين على وجه الخصوص - دعوتهم للإسلام </w:t>
      </w:r>
    </w:p>
    <w:p>
      <w:pPr>
        <w:bidi w:val="1"/>
        <w:jc w:val="start"/>
      </w:pPr>
      <w:r>
        <w:rPr>
          <w:rtl w:val="1"/>
        </w:rPr>
        <w:t>الشرح: الدلالة: سرية محمد بن مسلمة قبل نجد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