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البخاري — باب ما جاء في كفّارة المرض-كتاب المرضى -الطب-صحيح البخاري — رقم الحديث: 5641 — الرقم الفرعي: 99 — الرقم الأصلي: 5641</w:t>
        <w:br/>
      </w:r>
      <w:r>
        <w:rPr>
          <w:rtl w:val="1"/>
        </w:rPr>
        <w:t xml:space="preserve"> حدثني عبد الله بن محمد حدثنا عبد الملك بن عمرو حدثنا زهير بن محمد عن محمد بن عمرو بن حلحلة عن عطاء بن يسار عن أبي سعيد الخدري وعن أبي هريرة عن النبي صلى الله عليه وسلم</w:t>
        <w:br/>
      </w:r>
      <w:r>
        <w:rPr>
          <w:color w:val="000000"/>
          <w:rtl w:val="1"/>
        </w:rPr>
        <w:t xml:space="preserve">قال:  </w:t>
      </w:r>
      <w:r>
        <w:rPr>
          <w:color w:val="FF0000"/>
          <w:rtl w:val="1"/>
        </w:rPr>
        <w:t xml:space="preserve">«ما يُصِيبُ المسلمَ من نَصَبٍ ولا وصَبٍ، ولا هَمٍّ ولا حُزْنٍ، ولا أذًى ولا غَمٍّ، حتَّى الشَّوْكةِ يُشاكُها إلَّا كَفَّرَ اللهُ بها من خَطاياه». </w:t>
      </w:r>
    </w:p>
    <w:p>
      <w:pPr>
        <w:bidi w:val="1"/>
        <w:jc w:val="start"/>
      </w:pPr>
      <w:r>
        <w:rPr>
          <w:rtl w:val="1"/>
        </w:rPr>
        <w:t>الشرح: الدلالة: الصبر والثبات - القيم والأخلاق المحمودة</w:t>
      </w:r>
    </w:p>
    <w:p>
      <w:pPr>
        <w:bidi w:val="1"/>
        <w:jc w:val="start"/>
      </w:pPr>
      <w:r>
        <w:rPr>
          <w:rtl w:val="1"/>
        </w:rPr>
        <w:t>الشرح: الدلالة: الشكوى من المرض وفضل الصبر عليه - المرض</w:t>
      </w:r>
    </w:p>
    <w:p>
      <w:pPr>
        <w:bidi w:val="1"/>
        <w:jc w:val="start"/>
      </w:pPr>
      <w:r>
        <w:rPr>
          <w:rtl w:val="1"/>
        </w:rPr>
        <w:t>الشرح: الدلالة: التفاؤل عند البلاء - قيم الأمل والتفاؤل</w:t>
      </w:r>
    </w:p>
    <w:p>
      <w:pPr>
        <w:bidi w:val="1"/>
        <w:jc w:val="start"/>
      </w:pPr>
      <w:r>
        <w:rPr>
          <w:rtl w:val="1"/>
        </w:rPr>
        <w:t>الشرح: الدلالة: التميز - المباديء</w:t>
      </w:r>
    </w:p>
    <w:p>
      <w:pPr>
        <w:bidi w:val="1"/>
        <w:jc w:val="start"/>
      </w:pPr>
      <w:r>
        <w:rPr>
          <w:rtl w:val="1"/>
        </w:rPr>
        <w:t>الشرح: الدلالة: الابتلاء والصبر - مبادئ الدعوة وخصائصها</w:t>
      </w:r>
    </w:p>
    <w:p>
      <w:pPr>
        <w:bidi w:val="1"/>
        <w:jc w:val="start"/>
      </w:pPr>
      <w:r>
        <w:rPr>
          <w:rtl w:val="1"/>
        </w:rPr>
        <w:t>الشرح: الدلالة: كفارات الصغائر. - الصغائر</w:t>
      </w:r>
    </w:p>
    <w:p>
      <w:pPr>
        <w:bidi w:val="1"/>
        <w:jc w:val="start"/>
      </w:pPr>
      <w:r>
        <w:rPr>
          <w:rtl w:val="1"/>
        </w:rPr>
        <w:t>الشرح: الدلالة: التربية الإيمانية - الأهداف</w:t>
      </w:r>
    </w:p>
    <w:p>
      <w:pPr>
        <w:bidi w:val="1"/>
        <w:jc w:val="start"/>
      </w:pPr>
      <w:r>
        <w:rPr>
          <w:rtl w:val="1"/>
        </w:rPr>
        <w:t>الشرح: الدلالة: التربية الصحية - الأهداف</w:t>
      </w:r>
    </w:p>
    <w:p>
      <w:pPr>
        <w:bidi w:val="1"/>
        <w:jc w:val="start"/>
      </w:pPr>
      <w:r>
        <w:rPr>
          <w:rtl w:val="1"/>
        </w:rPr>
        <w:t>الشرح: الدلالة: التربية بالموعظة (التوجيه والإرشاد) - الأساليب التربوية والتهذيبية</w:t>
      </w:r>
    </w:p>
    <w:p>
      <w:pPr>
        <w:bidi w:val="1"/>
        <w:jc w:val="start"/>
      </w:pPr>
      <w:r>
        <w:rPr>
          <w:rtl w:val="1"/>
        </w:rPr>
        <w:t>الشرح: الدلالة: التربية بالثواب والعقاب - الأساليب التربوية والتهذيبية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