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فيمن دخل المسجد والإمام يخطب-كتاب إقامة الصلاة-سنن ابن ماجة — رقم الحديث: 1113 — الرقم الفرعي: 99 — الرقم الأصلي: 1113</w:t>
        <w:br/>
      </w:r>
      <w:r>
        <w:rPr>
          <w:rtl w:val="1"/>
        </w:rPr>
        <w:t xml:space="preserve"> حدثنا محمد بن الصّبّاح أنا سفيان بن عيينة عن ابن عجلان عن عياض بن عبد الله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رجُلٌ والنّبيُّ ﷺ يَخطُب، فقال: «أَصلَّيتَ؟» قال: لا، قال: «فصَلِّ رَكعتَين».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كلام الخطيب مع بعض الحاضرين للحاجة والعكس - خطبة الجمعة</w:t>
      </w:r>
    </w:p>
    <w:p>
      <w:pPr>
        <w:bidi w:val="1"/>
        <w:jc w:val="start"/>
      </w:pPr>
      <w:r>
        <w:rPr>
          <w:rtl w:val="1"/>
        </w:rPr>
        <w:t>الشرح: الدلالة: تحية المسجد أثناء الخطبة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