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استحباب القول مثل قول المؤذن،لمن سمعه،ثم يصلّي على النبيّ-كتاب الصلاة-صحيح مسلم — رقم الحديث: 385 — الرقم الفرعي: 99 — الرقم الأصلي: 385</w:t>
        <w:br/>
      </w:r>
      <w:r>
        <w:rPr>
          <w:rtl w:val="1"/>
        </w:rPr>
        <w:t xml:space="preserve"> حدثني إسحاق بن منصور أخبرنا أبو جعفر،محمد بن جَهضَم الثقفيّ حدثنا إسماعيل بن جعفر عن عُمارة بن غَزيّة عن خُبيب بن عبد الرحمن بن إساف عن حفص بن عاصم بن عمر بن الخطاب عن أبيه عن جدّه عمر بن الخطاب قال:قال رسول الله صلى الله عليه وسلم</w:t>
        <w:br/>
      </w:r>
      <w:r>
        <w:rPr>
          <w:color w:val="FF0000"/>
          <w:rtl w:val="1"/>
        </w:rPr>
        <w:t xml:space="preserve">إذا قالَ المُؤذِّن: اللهُ أكبَرُ، اللهُ أكبَر، فقالَ أَحدُكم: اللهُ أكبَرُ، اللهُ أكبَر،  </w:t>
      </w:r>
      <w:r>
        <w:rPr>
          <w:color w:val="FF0000"/>
          <w:rtl w:val="1"/>
        </w:rPr>
        <w:t xml:space="preserve">ثم قال: أَشهدُ أن لا إلهَ إلّا الله، قال: أَشهدُ أنَ لا إلهَ إلّا الله،  </w:t>
      </w:r>
      <w:r>
        <w:rPr>
          <w:color w:val="FF0000"/>
          <w:rtl w:val="1"/>
        </w:rPr>
        <w:t xml:space="preserve">ثم قال: أَشهدُ أنَّ محمّدًا رسولُ الله، قال: أَشهدُ أنّ محمّدًا رسولُ الله،  </w:t>
      </w:r>
      <w:r>
        <w:rPr>
          <w:color w:val="FF0000"/>
          <w:rtl w:val="1"/>
        </w:rPr>
        <w:t xml:space="preserve">ثم قال: حيَّ على الصّلاة، قال: لا حولَ ولا قوّةَ إلّا بالله،  </w:t>
      </w:r>
      <w:r>
        <w:rPr>
          <w:color w:val="FF0000"/>
          <w:rtl w:val="1"/>
        </w:rPr>
        <w:t xml:space="preserve">ثم قال: حيَّ على الفَلاح، قال: لا حولَ ولا قوَّةَ إلّا بالله،  </w:t>
      </w:r>
      <w:r>
        <w:rPr>
          <w:color w:val="FF0000"/>
          <w:rtl w:val="1"/>
        </w:rPr>
        <w:t xml:space="preserve">ثم قال: اللهُ أكبَرُ اللهُ أكبَر، قال: اللهُ أكبَرُ الله أكبَر،  </w:t>
      </w:r>
      <w:r>
        <w:rPr>
          <w:color w:val="FF0000"/>
          <w:rtl w:val="1"/>
        </w:rPr>
        <w:t xml:space="preserve">ثم قال: لا إلهَ إلّا الله، قال: لا إلهَ إلّا اللهُ، مِن قَلبِه، دَخَلَ الجَنّة». </w:t>
      </w:r>
    </w:p>
    <w:p>
      <w:pPr>
        <w:bidi w:val="1"/>
        <w:jc w:val="start"/>
      </w:pPr>
      <w:r>
        <w:rPr>
          <w:rtl w:val="1"/>
        </w:rPr>
        <w:t>درجة الحديث: صحيح</w:t>
      </w:r>
    </w:p>
    <w:p>
      <w:pPr>
        <w:bidi w:val="1"/>
        <w:jc w:val="start"/>
      </w:pPr>
      <w:r>
        <w:rPr>
          <w:rtl w:val="1"/>
        </w:rPr>
        <w:t>الشرح: الدلالة: أذكار الأذان والإقامة وأدعيتهما. - الذكر والدعاء في العبادات</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الأذان - الوسائل السمعية</w:t>
      </w:r>
    </w:p>
    <w:p>
      <w:pPr>
        <w:bidi w:val="1"/>
        <w:jc w:val="start"/>
      </w:pPr>
      <w:r>
        <w:rPr>
          <w:rtl w:val="1"/>
        </w:rPr>
        <w:t>الشرح: الدلالة: كلمات الأذان وأذكاره - ألفاظ الأذان</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فضل إجابة المؤذن - فضل الأذان</w:t>
      </w:r>
    </w:p>
    <w:p>
      <w:pPr>
        <w:bidi w:val="1"/>
        <w:jc w:val="start"/>
      </w:pPr>
      <w:r>
        <w:rPr>
          <w:rtl w:val="1"/>
        </w:rPr>
        <w:t>الشرح: الدلالة: * الأذكار - الاعتقادات والعبادات والأعمال الموجبة لدخول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