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مطل الغني وأنّه ظلم-كتاب البيوع-سنن الترمذي — رقم الحديث: 1309 — الرقم الفرعي: 99 — الرقم الأصلي: 1309</w:t>
        <w:br/>
      </w:r>
      <w:r>
        <w:rPr>
          <w:rtl w:val="1"/>
        </w:rPr>
        <w:t xml:space="preserve"> حدثنا إبراهيم بن عبد الله الهَرَويّ قال:حدثنا هشيم قال:حدثنا يونس بن عبيد عن نافع عن ابن عمر عن النبيّ صلى الله عليه وسلم</w:t>
        <w:br/>
      </w:r>
      <w:r>
        <w:rPr>
          <w:color w:val="FF0000"/>
          <w:rtl w:val="1"/>
        </w:rPr>
        <w:t xml:space="preserve">«مطلُ الغَنيِّ ظُلمٌ،  </w:t>
      </w:r>
      <w:r>
        <w:rPr>
          <w:color w:val="FF0000"/>
          <w:rtl w:val="1"/>
        </w:rPr>
        <w:t xml:space="preserve">وإذا أُحَلْتَ على مَلِيءٍ فاتَّبِعه،  </w:t>
      </w:r>
      <w:r>
        <w:rPr>
          <w:color w:val="FF0000"/>
          <w:rtl w:val="1"/>
        </w:rPr>
        <w:t xml:space="preserve">ولا تَبِعْ بيعَتَينِ في بَيعَة».  </w:t>
      </w:r>
      <w:r>
        <w:rPr>
          <w:color w:val="000000"/>
          <w:rtl w:val="1"/>
        </w:rPr>
        <w:t xml:space="preserve">حديث أبي هريرة حديثٌ حسنٌ صحيح.  </w:t>
      </w:r>
      <w:r>
        <w:rPr>
          <w:color w:val="000000"/>
          <w:rtl w:val="1"/>
        </w:rPr>
        <w:t xml:space="preserve">ومعناه: إذا أُحيلَ أَحدُكم على مليٍّ فليَحْتَل، فقال بعضُ أهل العلم: إذا أُحيلَ الرجلُ على مليٍّ فاحتالَه فقد بَرِئَ المُحيل، وليس له أَن يَرجِعَ على المُحِيل، وهو قولُ الشَّافعيِّ وأحمدَ وإسحاق.  </w:t>
      </w:r>
      <w:r>
        <w:rPr>
          <w:color w:val="000000"/>
          <w:rtl w:val="1"/>
        </w:rPr>
        <w:t xml:space="preserve">وقال بعضُ أهلِ العلم: إذا تَوِيَ مالُ هذا بإفلاس المُحالِ عليه، فله أن يَرجِع على الأوّل، واحتجُّوا بقولِ عثمانَ وغيره، حين قالوا: ليس على مالِ مسلمٍ تَوىً.  </w:t>
      </w:r>
      <w:r>
        <w:rPr>
          <w:color w:val="000000"/>
          <w:rtl w:val="1"/>
        </w:rPr>
        <w:t xml:space="preserve">قال إسحاق: معنى هذا الحديث: ليس على مال مسلمٍ تَوىً، هذا إذا أُحيلَ الرجلُ على آخَر وهو يُرى أنّه مليّ، فإذا هو مُعدِمٌ، فليس على مال مسلمٍ تَوىً.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آداب المعاملة من ( بيع وشراء)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بيع وسلف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وشرط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مشروعية الحوالة - الحوالة</w:t>
      </w:r>
    </w:p>
    <w:p>
      <w:pPr>
        <w:bidi w:val="1"/>
        <w:jc w:val="start"/>
      </w:pPr>
      <w:r>
        <w:rPr>
          <w:rtl w:val="1"/>
        </w:rPr>
        <w:t>الشرح: الدلالة: حكم الحوالة - الحوالة</w:t>
      </w:r>
    </w:p>
    <w:p>
      <w:pPr>
        <w:bidi w:val="1"/>
        <w:jc w:val="start"/>
      </w:pPr>
      <w:r>
        <w:rPr>
          <w:rtl w:val="1"/>
        </w:rPr>
        <w:t>الشرح: الدلالة: أثر الحوالة - الحوالة</w:t>
      </w:r>
    </w:p>
    <w:p>
      <w:pPr>
        <w:bidi w:val="1"/>
        <w:jc w:val="start"/>
      </w:pPr>
      <w:r>
        <w:rPr>
          <w:rtl w:val="1"/>
        </w:rPr>
        <w:t>الشرح: الدلالة: حوالة القرض - انقضاء القرض</w:t>
      </w:r>
    </w:p>
    <w:p>
      <w:pPr>
        <w:bidi w:val="1"/>
        <w:jc w:val="start"/>
      </w:pPr>
      <w:r>
        <w:rPr>
          <w:rtl w:val="1"/>
        </w:rPr>
        <w:t>الشرح: الدلالة: وجوب إيفاء الدين عند القدرة - إيفاء الدَّين</w:t>
      </w:r>
    </w:p>
    <w:p>
      <w:pPr>
        <w:bidi w:val="1"/>
        <w:jc w:val="start"/>
      </w:pPr>
      <w:r>
        <w:rPr>
          <w:rtl w:val="1"/>
        </w:rPr>
        <w:t>الشرح: الدلالة: مطل المدين الدين إِذا كان موسرًا - إيفاء الدَّين</w:t>
      </w:r>
    </w:p>
    <w:p>
      <w:pPr>
        <w:bidi w:val="1"/>
        <w:jc w:val="start"/>
      </w:pPr>
      <w:r>
        <w:rPr>
          <w:rtl w:val="1"/>
        </w:rPr>
        <w:t>الشرح: الدلالة: إنظار المدين المعسر - إيفاء الدَّين</w:t>
      </w:r>
    </w:p>
    <w:p>
      <w:pPr>
        <w:bidi w:val="1"/>
        <w:jc w:val="start"/>
      </w:pPr>
      <w:r>
        <w:rPr>
          <w:rtl w:val="1"/>
        </w:rPr>
        <w:t>الشرح: الدلالة: حسن القضاء والاقتضاء - إيفاء الدَّين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