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المعجم الكبير — رقم الحديث: 4864 — الرقم الفرعي: 99 — الرقم الأصلي: 4864 — ج: 5 — ص: 135</w:t>
        <w:br/>
      </w:r>
      <w:r>
        <w:rPr>
          <w:rtl w:val="1"/>
        </w:rPr>
        <w:t xml:space="preserve"> حدثنا محمد بن علي المروزيّ، حدثنا أحمد بن زرعة، حدثنا أبو غزية، عن ابن أبي الزناد، عن أبيه، عن أبيه، عن خارجة بن زيد بن ثابت، عن زيد بن ثابت، عن النبي ﷺ</w:t>
        <w:br/>
      </w:r>
      <w:r>
        <w:rPr>
          <w:color w:val="000000"/>
          <w:rtl w:val="1"/>
        </w:rPr>
        <w:t xml:space="preserve">قال:  </w:t>
      </w:r>
      <w:r>
        <w:rPr>
          <w:color w:val="FF0000"/>
          <w:rtl w:val="1"/>
        </w:rPr>
        <w:t xml:space="preserve">«إذا وقَعت الحُدودُ فلا شُفْعة».  </w:t>
      </w:r>
    </w:p>
    <w:p>
      <w:pPr>
        <w:bidi w:val="1"/>
        <w:jc w:val="start"/>
      </w:pPr>
      <w:r>
        <w:rPr>
          <w:rtl w:val="1"/>
        </w:rPr>
        <w:t xml:space="preserve">درجة الحديث: إسناده ضعيف </w:t>
      </w:r>
    </w:p>
    <w:p>
      <w:pPr>
        <w:bidi w:val="1"/>
        <w:jc w:val="start"/>
      </w:pPr>
      <w:r>
        <w:rPr>
          <w:rtl w:val="1"/>
        </w:rPr>
        <w:t>الشرح: الدلالة: مشروعية الشفعة - الشفعة</w:t>
      </w:r>
    </w:p>
    <w:p>
      <w:pPr>
        <w:bidi w:val="1"/>
        <w:jc w:val="start"/>
      </w:pPr>
      <w:r>
        <w:rPr>
          <w:rtl w:val="1"/>
        </w:rPr>
        <w:t>الشرح: الدلالة: الجوار سبب من أسباب الشفعة - أسباب الشفعة</w:t>
      </w:r>
    </w:p>
    <w:p>
      <w:pPr>
        <w:bidi w:val="1"/>
        <w:jc w:val="start"/>
      </w:pPr>
      <w:r>
        <w:rPr>
          <w:rtl w:val="1"/>
        </w:rPr>
        <w:t>الشرح: الدلالة: أحكام الشفعة - الشفعة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