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المعجم الكبير — رقم الحديث: 13385 — الرقم الفرعي: 99 — الرقم الأصلي: 13385 — ج: 12 — ص: 373</w:t>
        <w:br/>
      </w:r>
      <w:r>
        <w:rPr>
          <w:rtl w:val="1"/>
        </w:rPr>
        <w:t xml:space="preserve"> حدثنا الحسين بن إسحاق التستري، حدثنا إسماعيل بن توبة القزويني، حدثنا عبد الرحمن بن عبد الله بن عمر، عن أبيه، وعبيد الله بن عمر، عن نافع، عن ابن عمر، أن رسول الله ﷺ قال:</w:t>
        <w:br/>
      </w:r>
      <w:r>
        <w:rPr>
          <w:color w:val="000000"/>
          <w:rtl w:val="1"/>
        </w:rPr>
        <w:t xml:space="preserve">«الشُّفعةُ فيما لم تَقع الحُدود، فإذا وَقعَت الحُدودُ فلا شُفْعة». </w:t>
      </w:r>
    </w:p>
    <w:p>
      <w:pPr>
        <w:bidi w:val="1"/>
        <w:jc w:val="start"/>
      </w:pPr>
      <w:r>
        <w:rPr>
          <w:rtl w:val="1"/>
        </w:rPr>
        <w:t>درجة الحديث: موضوع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