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المسألة-كتاب الزكاة-صحيح مسلم — رقم الحديث: 1038 — الرقم الفرعي: 1 — الرقم الأصلي: 1038</w:t>
        <w:br/>
      </w:r>
      <w:r>
        <w:rPr>
          <w:rtl w:val="1"/>
        </w:rPr>
        <w:t xml:space="preserve"> حدثنا محمد بن عبد الله بن نُمير حدثنا سفيان عن عمرو عن وهْب بن مُنَبِّه عن أخيه همّام عن معاوية قال:قال رسول الله صلى الله عليه وسلم</w:t>
        <w:br/>
      </w:r>
      <w:r>
        <w:rPr>
          <w:color w:val="FF0000"/>
          <w:rtl w:val="1"/>
        </w:rPr>
        <w:t xml:space="preserve">«لا تُلحِفُوا في المسألة، فوَاللهِ، لا يَسأَلُنِي أَحدٌ مِنكُم شَيْئًا، فتُخرِجَ له مَسألتُه مِنْي شَيئًا، وأَنَا له كارِه، فيُبَارَك له فِيما أَعطَيتُه».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